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Guia do Grupo</w:t>
      </w:r>
    </w:p>
    <w:p>
      <w:pPr>
        <w:spacing w:after="400"/>
        <w:jc w:val="center"/>
      </w:pPr>
      <w:r>
        <w:rPr>
          <w:sz w:val="30"/>
          <w:szCs w:val="30"/>
        </w:rPr>
        <w:t xml:space="preserve">Degelo das calotas polares e impactos no Brasil e no Atlântico Sul</w:t>
      </w:r>
    </w:p>
    <w:p>
      <w:pPr>
        <w:spacing w:after="120" w:line="288"/>
        <w:jc w:val="center"/>
      </w:pPr>
      <w:r>
        <w:t xml:space="preserve">Disciplina: Tendências da Computação</w:t>
      </w:r>
    </w:p>
    <w:p>
      <w:pPr>
        <w:spacing w:after="120" w:line="288"/>
        <w:jc w:val="center"/>
      </w:pPr>
      <w:r>
        <w:t xml:space="preserve">Orientador: Prof. Dr. Renato Gonçalves Rocha</w:t>
      </w:r>
    </w:p>
    <w:p>
      <w:pPr>
        <w:spacing w:after="120" w:line="288"/>
        <w:jc w:val="center"/>
      </w:pPr>
      <w:r>
        <w:t xml:space="preserve">Versão 1, 20/09/2026</w:t>
      </w:r>
    </w:p>
    <w:p>
      <w:pPr>
        <w:spacing w:before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Como ler este guia</w:t>
            </w:r>
          </w:p>
          <w:p>
            <w:pPr>
              <w:spacing w:after="60" w:line="276"/>
            </w:pPr>
            <w:r>
              <w:t xml:space="preserve">Este documento explica o tema como um todo, organiza o que cada dupla faz e detalha o plano do Tópico 3.</w:t>
            </w:r>
          </w:p>
          <w:p>
            <w:pPr>
              <w:spacing w:after="60" w:line="276"/>
            </w:pPr>
            <w:r>
              <w:t xml:space="preserve">Texto com </w:t>
            </w:r>
            <w:r>
              <w:rPr>
                <w:b/>
                <w:bCs/>
              </w:rPr>
              <w:t xml:space="preserve">[[marcação amarela]]</w:t>
            </w:r>
            <w:r>
              <w:t xml:space="preserve"> é informação que o grupo ainda precisa preencher ou confirmar.</w:t>
            </w:r>
          </w:p>
          <w:p>
            <w:pPr>
              <w:spacing w:after="60" w:line="276"/>
            </w:pPr>
            <w:r>
              <w:t xml:space="preserve">Figuras marcadas como </w:t>
            </w:r>
            <w:r>
              <w:rPr>
                <w:b/>
                <w:bCs/>
              </w:rPr>
              <w:t xml:space="preserve">DADOS ILUSTRATIVOS</w:t>
            </w:r>
            <w:r>
              <w:t xml:space="preserve"> servem para explicar o método. Não são resultados reais.</w:t>
            </w:r>
          </w:p>
          <w:p>
            <w:pPr>
              <w:spacing w:after="60" w:line="276"/>
            </w:pPr>
            <w:r>
              <w:t xml:space="preserve">Termos técnicos estão explicados no glossário da seção 1.6.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O tema em uma página</w:t>
      </w:r>
    </w:p>
    <w:p>
      <w:pPr>
        <w:spacing w:after="120" w:line="288"/>
      </w:pPr>
      <w:r>
        <w:t xml:space="preserve">Nosso artigo investiga como o </w:t>
      </w:r>
      <w:r>
        <w:rPr>
          <w:b/>
          <w:bCs/>
        </w:rPr>
        <w:t xml:space="preserve">degelo das calotas polares</w:t>
      </w:r>
      <w:r>
        <w:t xml:space="preserve"> afeta o Brasil e o Atlântico Sul. O degelo age por dois caminhos principais: um </w:t>
      </w:r>
      <w:r>
        <w:rPr>
          <w:b/>
          <w:bCs/>
        </w:rPr>
        <w:t xml:space="preserve">direto</w:t>
      </w:r>
      <w:r>
        <w:t xml:space="preserve">, colocando mais água no oceano e subindo o nível do mar, e um </w:t>
      </w:r>
      <w:r>
        <w:rPr>
          <w:b/>
          <w:bCs/>
        </w:rPr>
        <w:t xml:space="preserve">indireto</w:t>
      </w:r>
      <w:r>
        <w:t xml:space="preserve">, mudando a salinidade do Atlântico Norte e, com isso, as correntes oceânicas e as chuvas. Cada tópico do grupo cuida de um pedaço dessa cadeia.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01_cadeia.png" descr="Cadeia de causa e efeito do tema e onde cada tópico se encaixa." title="Cadeia de causa e efeito do tema e onde cada tópico se encaix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1. </w:t>
      </w:r>
      <w:r>
        <w:rPr>
          <w:i/>
          <w:iCs/>
          <w:sz w:val="18"/>
          <w:szCs w:val="18"/>
        </w:rPr>
        <w:t xml:space="preserve">Cadeia de causa e efeito do tema e onde cada tópico se encaixa.</w:t>
      </w:r>
    </w:p>
    <w:p>
      <w:pPr>
        <w:pStyle w:val="Heading2"/>
      </w:pPr>
      <w:r>
        <w:t xml:space="preserve">1.1 Aquecimento global</w:t>
      </w:r>
    </w:p>
    <w:p>
      <w:pPr>
        <w:spacing w:after="120" w:line="288"/>
      </w:pPr>
      <w:r>
        <w:t xml:space="preserve">Gases de efeito estufa retêm calor na atmosfera. Parte desse calor vai para o oceano (que se expande ao esquentar) e parte derrete gelo. Esse é o ponto de partida de toda a cadeia.</w:t>
      </w:r>
    </w:p>
    <w:p>
      <w:pPr>
        <w:pStyle w:val="Heading2"/>
      </w:pPr>
      <w:r>
        <w:t xml:space="preserve">1.2 Degelo e calotas polares</w:t>
      </w:r>
    </w:p>
    <w:p>
      <w:pPr>
        <w:spacing w:after="120" w:line="288"/>
      </w:pPr>
      <w:r>
        <w:t xml:space="preserve">Existe uma diferença que precisa estar clara no artigo: </w:t>
      </w:r>
      <w:r>
        <w:rPr>
          <w:b/>
          <w:bCs/>
        </w:rPr>
        <w:t xml:space="preserve">nem todo gelo que derrete sobe o nível do mar</w:t>
      </w:r>
      <w:r>
        <w:t xml:space="preserve">. O gelo marinho do Ártico já flutua na água, então ao derreter quase não altera o nível. Já o gelo que está </w:t>
      </w:r>
      <w:r>
        <w:rPr>
          <w:b/>
          <w:bCs/>
        </w:rPr>
        <w:t xml:space="preserve">sobre a terra</w:t>
      </w:r>
      <w:r>
        <w:t xml:space="preserve"> (mantos da Groenlândia e da Antártica, geleiras de montanha) escorre para o oceano e aumenta o volume de água.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02_gelo.png" descr="Gelo que flutua x gelo sobre a terra. Só o segundo sobe o nível do mar de forma relevante." title="Gelo que flutua x gelo sobre a terra. Só o segundo sobe o nível do mar de forma relev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2. </w:t>
      </w:r>
      <w:r>
        <w:rPr>
          <w:i/>
          <w:iCs/>
          <w:sz w:val="18"/>
          <w:szCs w:val="18"/>
        </w:rPr>
        <w:t xml:space="preserve">Gelo que flutua x gelo sobre a terra. Só o segundo sobe o nível do mar de forma relevante.</w:t>
      </w:r>
    </w:p>
    <w:p>
      <w:pPr>
        <w:spacing w:after="120" w:line="288"/>
      </w:pPr>
      <w:r>
        <w:t xml:space="preserve">O levantamento do Tópico 1 mostra que a perda de gelo dos dois mantos </w:t>
      </w:r>
      <w:r>
        <w:rPr>
          <w:b/>
          <w:bCs/>
        </w:rPr>
        <w:t xml:space="preserve">mais que triplicou</w:t>
      </w:r>
      <w:r>
        <w:t xml:space="preserve">: de cerca de 105 Gt/ano em 1992-1996 para cerca de 372 Gt/ano em 2016-2020 (dados IMBIE).</w:t>
      </w:r>
    </w:p>
    <w:p>
      <w:pPr>
        <w:pStyle w:val="Heading2"/>
      </w:pPr>
      <w:r>
        <w:t xml:space="preserve">1.3 Correntes oceânicas e a AMOC</w:t>
      </w:r>
    </w:p>
    <w:p>
      <w:pPr>
        <w:spacing w:after="120" w:line="288"/>
      </w:pPr>
      <w:r>
        <w:t xml:space="preserve">A </w:t>
      </w:r>
      <w:r>
        <w:rPr>
          <w:b/>
          <w:bCs/>
        </w:rPr>
        <w:t xml:space="preserve">AMOC</w:t>
      </w:r>
      <w:r>
        <w:t xml:space="preserve"> (Circulação de Revolvimento Meridional do Atlântico) funciona como uma </w:t>
      </w:r>
      <w:r>
        <w:rPr>
          <w:b/>
          <w:bCs/>
        </w:rPr>
        <w:t xml:space="preserve">esteira rolante</w:t>
      </w:r>
      <w:r>
        <w:t xml:space="preserve">: água quente e salgada corre pela superfície até o Atlântico Norte, esfria, fica densa, afunda e volta para o sul pelo fundo. O que faz a água afundar é a </w:t>
      </w:r>
      <w:r>
        <w:rPr>
          <w:b/>
          <w:bCs/>
        </w:rPr>
        <w:t xml:space="preserve">densidade</w:t>
      </w:r>
      <w:r>
        <w:t xml:space="preserve">, que depende de temperatura e de sal.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f03_amoc.png" descr="Esquema da AMOC e do efeito da água doce do degelo." title="Esquema da AMOC e do efeito da água doce do deg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3. </w:t>
      </w:r>
      <w:r>
        <w:rPr>
          <w:i/>
          <w:iCs/>
          <w:sz w:val="18"/>
          <w:szCs w:val="18"/>
        </w:rPr>
        <w:t xml:space="preserve">Esquema da AMOC e do efeito da água doce do degelo.</w:t>
      </w:r>
    </w:p>
    <w:p>
      <w:pPr>
        <w:spacing w:after="120" w:line="288"/>
      </w:pPr>
      <w:r>
        <w:t xml:space="preserve">Quando o gelo da Groenlândia derrete, entra </w:t>
      </w:r>
      <w:r>
        <w:rPr>
          <w:b/>
          <w:bCs/>
        </w:rPr>
        <w:t xml:space="preserve">água doce</w:t>
      </w:r>
      <w:r>
        <w:t xml:space="preserve"> no Atlântico Norte. Menos sal significa água menos densa, que afunda menos, e a esteira desacelera. Um estudo de 2024 associa o enfraquecimento observado da AMOC desde meados do século XX justamente à diminuição da salinidade na região subártica (Pontes; Menviel, 2024).</w:t>
      </w:r>
    </w:p>
    <w:p>
      <w:pPr>
        <w:spacing w:after="120" w:line="288"/>
      </w:pPr>
      <w:r>
        <w:t xml:space="preserve">O que se sabe hoje: o monitoramento no Atlântico Norte (arranjo RAPID, 26°N) já indica queda significativa, enquanto os arranjos do Atlântico Sul (22,5°S e 34,5°S) ainda não mostram tendência robusta (Vilela et al., 2025). Sobre o futuro, há divergência: estimativas com restrições observacionais apontam enfraquecimento limitado, de 3 a 6 Sv (18% a 43%) até 2100 (Bonan et al., 2025).</w:t>
      </w:r>
    </w:p>
    <w:p>
      <w:pPr>
        <w:pStyle w:val="Heading2"/>
      </w:pPr>
      <w:r>
        <w:t xml:space="preserve">1.4 Impactos no Brasil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Costa (caminho direto, Tópico 3):</w:t>
      </w:r>
      <w:r>
        <w:t xml:space="preserve"> subida do nível do mar, erosão, alagamentos, perda de mangues.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Chuvas (caminho indireto, Tópico 2):</w:t>
      </w:r>
      <w:r>
        <w:t xml:space="preserve"> com a AMOC mais fraca, a Zona de Convergência Intertropical (ZCIT) se desloca para o sul. Modelos indicam secagem na Amazônia e compensação (mais chuva) no leste do Nordeste; para uma AMOC 4 Sv mais fraca no cenário de emissões altas, a chuva no leste do Nordeste aumentaria cerca de 131 mm/ano, uns 11% (Vilela et al., 2025).</w:t>
      </w:r>
    </w:p>
    <w:p>
      <w:pPr>
        <w:spacing w:after="120" w:line="288"/>
      </w:pPr>
      <w:r>
        <w:t xml:space="preserve">Para o nível do mar global, a referência mundial é o IPCC AR6: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95600"/>
            <wp:effectExtent t="0" r="0" b="0" l="0"/>
            <wp:docPr id="1" name="f04_ipcc.png" descr="Subida média global projetada pelo IPCC AR6 (medianas; relativo à média de 1995-2014)." title="Subida média global projetada pelo IPCC AR6 (medianas; relativo à média de 1995-201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4. </w:t>
      </w:r>
      <w:r>
        <w:rPr>
          <w:i/>
          <w:iCs/>
          <w:sz w:val="18"/>
          <w:szCs w:val="18"/>
        </w:rPr>
        <w:t xml:space="preserve">Subida média global projetada pelo IPCC AR6 (medianas; relativo à média de 1995-2014).</w:t>
      </w:r>
    </w:p>
    <w:p>
      <w:pPr>
        <w:spacing w:after="120" w:line="288"/>
      </w:pPr>
      <w:r>
        <w:t xml:space="preserve">Detalhe importante: esses valores são </w:t>
      </w:r>
      <w:r>
        <w:rPr>
          <w:b/>
          <w:bCs/>
        </w:rPr>
        <w:t xml:space="preserve">relativos à média de 1995-2014</w:t>
      </w:r>
      <w:r>
        <w:t xml:space="preserve">, não a hoje. Isso muda a interpretação de qualquer número "até 2045" (ver seção 4.10).</w:t>
      </w:r>
    </w:p>
    <w:p>
      <w:pPr>
        <w:pStyle w:val="Heading2"/>
      </w:pPr>
      <w:r>
        <w:t xml:space="preserve">1.5 A conexão com Computação e IA</w:t>
      </w:r>
    </w:p>
    <w:p>
      <w:pPr>
        <w:spacing w:after="120" w:line="288"/>
      </w:pPr>
      <w:r>
        <w:t xml:space="preserve">A disciplina pede projeções tecnológicas e de IA. O grupo tem duas conexões fortes: o Tópico 1 usa estudos com </w:t>
      </w:r>
      <w:r>
        <w:rPr>
          <w:b/>
          <w:bCs/>
        </w:rPr>
        <w:t xml:space="preserve">emulação estatística</w:t>
      </w:r>
      <w:r>
        <w:t xml:space="preserve"> (aprendizado de máquina que imita modelos climáticos caros, Edwards et al., 2021), e o Tópico 3 constrói um modelo de </w:t>
      </w:r>
      <w:r>
        <w:rPr>
          <w:b/>
          <w:bCs/>
        </w:rPr>
        <w:t xml:space="preserve">aprendizado supervisionado</w:t>
      </w:r>
      <w:r>
        <w:t xml:space="preserve"> simples (regressão com treino, teste e validação), que é a base conceitual de qualquer modelo de machine learning.</w:t>
      </w:r>
    </w:p>
    <w:p>
      <w:pPr>
        <w:pStyle w:val="Heading2"/>
      </w:pPr>
      <w:r>
        <w:t xml:space="preserve">1.6 Glossário rápido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Marégrafo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Equipamento na costa que mede a altura do mar em relação a uma referência fixa em terra.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Nível relativo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que o marégrafo mede: subida do mar somada ao movimento do solo (se o solo afunda, o mar "sobe" mais).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Altimetria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Medição da altura do mar por satélite (desde 1993). Mede o nível absoluto, sem efeito do solo.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Subsidência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Afundamento do solo (aterros, extração de água, sedimentos).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Gt (gigatonelada)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 bilhão de toneladas. Cerca de 362 Gt de gelo derretido sobem o nível médio global em 1 mm.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AMOC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Circulação de Revolvimento Meridional do Atlântico, a "esteira" de correntes do Atlântico.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Sv (Sverdrup)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Unidade de fluxo de água: 1 Sv = 1 milhão de m³ por segundo.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SSP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Cenários de emissões do IPCC (ex.: SSP1-1.9 emissões muito baixas; SSP5-8.5 muito altas).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Regressão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Técnica que encontra a reta (ou curva) que melhor descreve os dados.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RMSE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Erro médio do modelo, na mesma unidade dos dados (mm).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IC 95%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Intervalo de confiança: a faixa onde o valor real deve estar com 95% de confiança.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PSMSL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Banco internacional de dados de marégrafos (Liverpool, desde 1933).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Organização do grupo</w:t>
      </w:r>
    </w:p>
    <w:p>
      <w:pPr>
        <w:spacing w:after="120" w:line="288"/>
      </w:pPr>
      <w:r>
        <w:t xml:space="preserve">O grupo tem três duplas, uma por tópico. Os tópicos não são independentes: o resultado de um alimenta o outro. Por isso é essencial combinar </w:t>
      </w:r>
      <w:r>
        <w:rPr>
          <w:b/>
          <w:bCs/>
        </w:rPr>
        <w:t xml:space="preserve">unidades e períodos</w:t>
      </w:r>
      <w:r>
        <w:t xml:space="preserve"> desde já.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Tópico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Pergunta central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Entrega principal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1. Quantificação do degelo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Quanto gelo foi perdido e quanto isso representa em nível do mar?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Taxas em Gt/ano e mm/ano, com incerteza, por período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2. AMOC e salinização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Como a água doce do degelo afeta as correntes e o clima do Brasil?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Explicação do mecanismo + impactos no clima brasileiro (literatura e dados observados)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 Impactos costeiros no Brasil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Quanto o mar subiu e deve subir na costa, e quanto disso é degelo?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Modelo de projeção validado (Ilha Fiscal) + parcela do degelo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06_integracao.png" descr="Fluxo de dados entre os tópicos." title="Fluxo de dados entre os tópi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5. </w:t>
      </w:r>
      <w:r>
        <w:rPr>
          <w:i/>
          <w:iCs/>
          <w:sz w:val="18"/>
          <w:szCs w:val="18"/>
        </w:rPr>
        <w:t xml:space="preserve">Fluxo de dados entre os tópicos.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Regras de integração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Unidade de nível do mar:</w:t>
            </w:r>
            <w:r>
              <w:t xml:space="preserve"> mm (e mm/ano para taxas).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Período de comparação comum:</w:t>
            </w:r>
            <w:r>
              <w:t xml:space="preserve"> 1993 a 2020 (começo da era dos satélites até o fim da série IMBIE).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Toda taxa vem com incerteza</w:t>
            </w:r>
            <w:r>
              <w:t xml:space="preserve"> (ex.: 0,8 ± 0,1 mm/ano).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Mesma técnica de tendência para todos:</w:t>
            </w:r>
            <w:r>
              <w:t xml:space="preserve"> regressão linear, para o artigo ter método coerente.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Tópicos 1 e 2: o que fazer para tudo se encaixar</w:t>
      </w:r>
    </w:p>
    <w:p>
      <w:pPr>
        <w:pStyle w:val="Heading2"/>
      </w:pPr>
      <w:r>
        <w:t xml:space="preserve">3.1 Tópico 1: quantificação do degelo</w:t>
      </w:r>
    </w:p>
    <w:p>
      <w:pPr>
        <w:pStyle w:val="Heading3"/>
      </w:pPr>
      <w:r>
        <w:t xml:space="preserve">O que já foi obtido (pasta do Drive)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Dados IMBIE 2021</w:t>
      </w:r>
      <w:r>
        <w:t xml:space="preserve"> (base de Otosaka et al., 2023), em Gt e em mm, mensais a partir de 1992, para Groenlândia, Antártica, Antártica Ocidental, Oriental, Península e total. Colunas: balanço de massa (mm/ano), incerteza, balanço acumulado (mm) e incerteza acumulada.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GRACE/GRACE-FO (JPL, mascon RL06.3)</w:t>
      </w:r>
      <w:r>
        <w:t xml:space="preserve"> para a Antártica, de 04/2002 a 07/2026, com tendência de -129,6 ± 39,0 Gt/ano.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Resumo e referências</w:t>
      </w:r>
      <w:r>
        <w:t xml:space="preserve"> com o principal achado (perda de 105 para 372 Gt/ano) e a conexão com IA via emulação (Edwards et al., 2021).</w:t>
      </w:r>
    </w:p>
    <w:p>
      <w:pPr>
        <w:pStyle w:val="Heading3"/>
      </w:pPr>
      <w:r>
        <w:t xml:space="preserve">Lacunas identificadas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Falta o arquivo GRACE/GRACE-FO da </w:t>
      </w:r>
      <w:r>
        <w:rPr>
          <w:b/>
          <w:bCs/>
        </w:rPr>
        <w:t xml:space="preserve">Groenlândia</w:t>
      </w:r>
      <w:r>
        <w:t xml:space="preserve"> (a pasta tem só Antártica). A Groenlândia é a região que interessa ao Tópico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Os dados IMBIE ainda estão brutos: falta calcular as </w:t>
      </w:r>
      <w:r>
        <w:rPr>
          <w:b/>
          <w:bCs/>
        </w:rPr>
        <w:t xml:space="preserve">taxas médias por período</w:t>
      </w:r>
      <w:r>
        <w:t xml:space="preserve"> e o gráfico acumulado.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Conferir o </w:t>
      </w:r>
      <w:r>
        <w:rPr>
          <w:b/>
          <w:bCs/>
        </w:rPr>
        <w:t xml:space="preserve">sinal</w:t>
      </w:r>
      <w:r>
        <w:t xml:space="preserve"> das colunas em mm (se positivo significa contribuição para a subida do mar).</w:t>
      </w:r>
    </w:p>
    <w:p>
      <w:pPr>
        <w:pStyle w:val="Heading3"/>
      </w:pPr>
      <w:r>
        <w:t xml:space="preserve">Checklist do Tópico 1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Deixar explícito no texto que o foco é </w:t>
      </w:r>
      <w:r>
        <w:rPr>
          <w:b/>
          <w:bCs/>
        </w:rPr>
        <w:t xml:space="preserve">gelo continental</w:t>
      </w:r>
      <w:r>
        <w:t xml:space="preserve"> (Groenlândia e Antártica), não gelo marinho.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Usar o arquivo </w:t>
      </w:r>
      <w:r>
        <w:rPr>
          <w:rFonts w:ascii="Courier New" w:cs="Courier New" w:eastAsia="Courier New" w:hAnsi="Courier New"/>
          <w:sz w:val="19"/>
          <w:szCs w:val="19"/>
        </w:rPr>
        <w:t xml:space="preserve">imbie_all_2021_mm.csv</w:t>
      </w:r>
      <w:r>
        <w:t xml:space="preserve"> para calcular a </w:t>
      </w:r>
      <w:r>
        <w:rPr>
          <w:b/>
          <w:bCs/>
        </w:rPr>
        <w:t xml:space="preserve">contribuição do degelo em mm/ano</w:t>
      </w:r>
      <w:r>
        <w:t xml:space="preserve"> no período comum 1993 a 2020 (média com incerteza). Os arquivos em mm já dispensam a conversão de Gt.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Calcular a mesma taxa separada para </w:t>
      </w:r>
      <w:r>
        <w:rPr>
          <w:b/>
          <w:bCs/>
        </w:rPr>
        <w:t xml:space="preserve">Groenlândia</w:t>
      </w:r>
      <w:r>
        <w:t xml:space="preserve"> e </w:t>
      </w:r>
      <w:r>
        <w:rPr>
          <w:b/>
          <w:bCs/>
        </w:rPr>
        <w:t xml:space="preserve">Antártica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Fazer o gráfico do </w:t>
      </w:r>
      <w:r>
        <w:rPr>
          <w:b/>
          <w:bCs/>
        </w:rPr>
        <w:t xml:space="preserve">balanço acumulado em mm</w:t>
      </w:r>
      <w:r>
        <w:t xml:space="preserve"> de 1992 a 2020 (uma linha por manto).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Baixar o arquivo GRACE/GRACE-FO da Groenlândia para estender a série até 2026 e comparar com a Antártica.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Conectar com o IPCC AR6: qual a contribuição projetada dos mantos até 2050 e 2100.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Entregar ao Tópico 3:</w:t>
      </w:r>
      <w:r>
        <w:t xml:space="preserve"> taxa do degelo (mm/ano, 1993 a 2020, com incerteza).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Entregar ao Tópico 2:</w:t>
      </w:r>
      <w:r>
        <w:t xml:space="preserve"> perda da Groenlândia em Gt/ano ao longo do tempo (é a água doce que entra no Atlântico Norte).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Trocar a fonte jornalística e o blog por artigos revisados (ex.: buscar Bamber et al., 2019 direto na PNAS).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Formato sugerido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Para o Tópico 3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Tabela: período | taxa total (mm/ano) | incerteza | taxa Groenlândia | taxa Antártica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Para o Tópico 2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Tabela anual: ano | perda Groenlândia (Gt/ano) | incerteza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Para o artigo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Gráfico acumulado (mm) + frase-resumo da aceleração da perda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Tópico 2: AMOC e salinização</w:t>
      </w:r>
    </w:p>
    <w:p>
      <w:pPr>
        <w:spacing w:after="120" w:line="288"/>
      </w:pPr>
      <w:r>
        <w:t xml:space="preserve">Aqui "salinização" significa a </w:t>
      </w:r>
      <w:r>
        <w:rPr>
          <w:b/>
          <w:bCs/>
        </w:rPr>
        <w:t xml:space="preserve">mudança de salinidade do oceano</w:t>
      </w:r>
      <w:r>
        <w:t xml:space="preserve"> causada pela água doce do degelo. (Se o grupo quiser tratar de intrusão de água salgada em rios e aquíferos da costa, isso conversa com o Tópico 3 e deve ser combinado.)</w:t>
      </w:r>
    </w:p>
    <w:p>
      <w:pPr>
        <w:pStyle w:val="Heading3"/>
      </w:pPr>
      <w:r>
        <w:t xml:space="preserve">O que já foi obtido (pasta do Drive)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Texto-base usando Komarov, Amorim e Senna (2026, Earth Interactions): AMOC mais fraca desloca a ZCIT para o sul, altera as chuvas no Norte e Nordeste e enfraquece o Anticiclone Subtropical do Atlântico Sul, facilitando frentes frias no Sudeste.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Texto sobre teleconexões do degelo com a costa brasileira.</w:t>
      </w:r>
    </w:p>
    <w:p>
      <w:pPr>
        <w:pStyle w:val="Heading3"/>
      </w:pPr>
      <w:r>
        <w:t xml:space="preserve">Checklist do Tópico 2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Explicar a AMOC com a analogia da esteira e o papel da densidade (temperatura + sal).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Explicar o mecanismo </w:t>
      </w:r>
      <w:r>
        <w:rPr>
          <w:b/>
          <w:bCs/>
        </w:rPr>
        <w:t xml:space="preserve">água doce, menos sal, menos afundamento, AMOC mais fraca</w:t>
      </w:r>
      <w:r>
        <w:t xml:space="preserve">, citando Pontes e Menviel (2024).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Apresentar o que é </w:t>
      </w:r>
      <w:r>
        <w:rPr>
          <w:b/>
          <w:bCs/>
        </w:rPr>
        <w:t xml:space="preserve">observado</w:t>
      </w:r>
      <w:r>
        <w:t xml:space="preserve"> (RAPID 26°N em queda; Atlântico Sul sem tendência robusta) separado do que é </w:t>
      </w:r>
      <w:r>
        <w:rPr>
          <w:b/>
          <w:bCs/>
        </w:rPr>
        <w:t xml:space="preserve">projetado por modelos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Impactos no Brasil: ZCIT, Amazônia, Nordeste, extremos de chuva (Vilela et al., 2025; Komarov et al., 2026).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Mostrar a incerteza: modelos discordam sobre o tamanho do enfraquecimento (Bonan et al., 2025).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Componente computacional sugerido:</w:t>
      </w:r>
      <w:r>
        <w:t xml:space="preserve"> baixar a série RAPID e aplicar a </w:t>
      </w:r>
      <w:r>
        <w:rPr>
          <w:b/>
          <w:bCs/>
        </w:rPr>
        <w:t xml:space="preserve">mesma regressão linear</w:t>
      </w:r>
      <w:r>
        <w:t xml:space="preserve"> do Tópico 3 para estimar a tendência da AMOC (em Sv por década). Isso dá coerência metodológica ao artigo. Cuidado: a série começa em 2004, então é curta.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Usar a série da Groenlândia (do Tópico 1) para mostrar, lado a lado, o aumento da água doce e a queda da AMOC.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Deixar claro no texto que o grupo </w:t>
      </w:r>
      <w:r>
        <w:rPr>
          <w:b/>
          <w:bCs/>
        </w:rPr>
        <w:t xml:space="preserve">não prevê chuva</w:t>
      </w:r>
      <w:r>
        <w:t xml:space="preserve">: os números de chuva vêm de modelos climáticos publicados.</w:t>
      </w:r>
    </w:p>
    <w:p>
      <w:pPr>
        <w:pStyle w:val="Heading1"/>
        <w:pageBreakBefore/>
      </w:pPr>
      <w:r>
        <w:t xml:space="preserve">4. Tópico 3: impactos costeiros no Brasil</w:t>
      </w:r>
    </w:p>
    <w:p>
      <w:pPr>
        <w:pStyle w:val="Heading2"/>
      </w:pPr>
      <w:r>
        <w:t xml:space="preserve">4.1 O que já fizemos: Cananéia e Imbituba</w:t>
      </w:r>
    </w:p>
    <w:p>
      <w:pPr>
        <w:spacing w:after="120" w:line="288"/>
      </w:pPr>
      <w:r>
        <w:t xml:space="preserve">Montamos uma regressão para duas estações: </w:t>
      </w:r>
      <w:r>
        <w:rPr>
          <w:b/>
          <w:bCs/>
        </w:rPr>
        <w:t xml:space="preserve">Cananéia (SP)</w:t>
      </w:r>
      <w:r>
        <w:t xml:space="preserve">, com dados do PSMSL de 1954 a 2006, e </w:t>
      </w:r>
      <w:r>
        <w:rPr>
          <w:b/>
          <w:bCs/>
        </w:rPr>
        <w:t xml:space="preserve">Imbituba (SC)</w:t>
      </w:r>
      <w:r>
        <w:t xml:space="preserve">, com dados do IBGE (Rede Maregráfica Permanente para Geodésia, via API) de 2001 a 2024. O algoritmo funcionou, mas ao analisar os resultados concluímos que os dados dessas estações </w:t>
      </w:r>
      <w:r>
        <w:rPr>
          <w:b/>
          <w:bCs/>
        </w:rPr>
        <w:t xml:space="preserve">não permitem uma projeção confiável</w:t>
      </w:r>
      <w:r>
        <w:t xml:space="preserve">.</w:t>
      </w:r>
    </w:p>
    <w:p>
      <w:pPr>
        <w:pStyle w:val="Heading2"/>
      </w:pPr>
      <w:r>
        <w:t xml:space="preserve">4.2 Por que esses dados têm confiança limitada</w:t>
      </w:r>
    </w:p>
    <w:p>
      <w:pPr>
        <w:spacing w:after="120" w:line="288"/>
      </w:pPr>
      <w:r>
        <w:rPr>
          <w:b/>
          <w:bCs/>
        </w:rPr>
        <w:t xml:space="preserve">Cananéia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Fica num sistema estuarino-lagunar: sedimentação, fluxo de rios e geologia local distorcem o sinal do oceano. A taxa encontrada é atípica.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série termina em 2006: são quase 20 anos sem dados até hoje.</w:t>
      </w:r>
    </w:p>
    <w:p>
      <w:pPr>
        <w:spacing w:after="120" w:line="288"/>
      </w:pPr>
      <w:r>
        <w:rPr>
          <w:b/>
          <w:bCs/>
        </w:rPr>
        <w:t xml:space="preserve">Imbituba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série do IBGE tem cerca de 23 anos, abaixo dos 30 anos recomendados para separar tendência climática de variação natural.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 séries curtas, El Niño, pressão atmosférica e ventos pesam muito e podem inclinar a reta para cima ou para baixo.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PSMSL, a Imbituba histórica cobre só 1948 a 1968, e a "Imbituba II" é métrica (o próprio PSMSL avisa que não é dado de qualidade de pesquisa). Juntar séries separadas por décadas cria saltos de referência.</w:t>
      </w:r>
    </w:p>
    <w:p>
      <w:pPr>
        <w:spacing w:after="120" w:line="288"/>
      </w:pPr>
      <w:r>
        <w:rPr>
          <w:b/>
          <w:bCs/>
        </w:rPr>
        <w:t xml:space="preserve">Problema geral de qualquer marégrafo:</w:t>
      </w:r>
      <w:r>
        <w:t xml:space="preserve"> ele mede o </w:t>
      </w:r>
      <w:r>
        <w:rPr>
          <w:b/>
          <w:bCs/>
        </w:rPr>
        <w:t xml:space="preserve">nível relativo</w:t>
      </w:r>
      <w:r>
        <w:t xml:space="preserve">, ou seja, a soma de várias causas. Sem medir o movimento do solo no local (GPS/GNSS), não dá para separar o que é oceano do que é o chão afundando.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f05_causas.png" descr="O marégrafo mede a soma de causas globais e locais, sem separá-las." title="O marégrafo mede a soma de causas globais e locais, sem separá-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6. </w:t>
      </w:r>
      <w:r>
        <w:rPr>
          <w:i/>
          <w:iCs/>
          <w:sz w:val="18"/>
          <w:szCs w:val="18"/>
        </w:rPr>
        <w:t xml:space="preserve">O marégrafo mede a soma de causas globais e locais, sem separá-las.</w:t>
      </w:r>
    </w:p>
    <w:p>
      <w:pPr>
        <w:spacing w:after="120" w:line="288"/>
      </w:pPr>
      <w:r>
        <w:t xml:space="preserve">Isso não é um problema só do Brasil: na Escandinávia o solo ainda sobe desde a última glaciação (o mar relativo cai), e cidades como Jacarta afundam mais rápido do que o mar sobe. O que é específico do Brasil é a </w:t>
      </w:r>
      <w:r>
        <w:rPr>
          <w:b/>
          <w:bCs/>
        </w:rPr>
        <w:t xml:space="preserve">falta de séries longas e contínuas</w:t>
      </w:r>
      <w:r>
        <w:t xml:space="preserve">.</w:t>
      </w:r>
    </w:p>
    <w:p>
      <w:pPr>
        <w:pStyle w:val="Heading2"/>
      </w:pPr>
      <w:r>
        <w:t xml:space="preserve">4.3 E se mudássemos o foco para salinização, clima e chuva?</w:t>
      </w:r>
    </w:p>
    <w:p>
      <w:pPr>
        <w:spacing w:after="120" w:line="288"/>
      </w:pPr>
      <w:r>
        <w:t xml:space="preserve">Avaliamos essa hipótese e </w:t>
      </w:r>
      <w:r>
        <w:rPr>
          <w:b/>
          <w:bCs/>
        </w:rPr>
        <w:t xml:space="preserve">não recomendamos</w:t>
      </w:r>
      <w:r>
        <w:t xml:space="preserve">, por quatro motivos: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Sobrepõe o Tópico 2</w:t>
      </w:r>
      <w:r>
        <w:t xml:space="preserve">, que já cobre AMOC, salinidade e chuvas.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Chuva tem ainda mais causas</w:t>
      </w:r>
      <w:r>
        <w:t xml:space="preserve"> que o nível do mar (El Niño, desmatamento, Amazônia). Atribuir chuva ao degelo é mais difícil, não mais fácil.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Projeções de chuva vêm de modelos climáticos globais</w:t>
      </w:r>
      <w:r>
        <w:t xml:space="preserve"> (CMIP6), que o grupo não tem como rodar.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Nível do mar tem dado observado longo</w:t>
      </w:r>
      <w:r>
        <w:t xml:space="preserve"> e ligação física direta com o degelo (água a mais no oceano).</w:t>
      </w:r>
    </w:p>
    <w:p>
      <w:pPr>
        <w:pStyle w:val="Heading2"/>
      </w:pPr>
      <w:r>
        <w:t xml:space="preserve">4.4 A nova direção: estação Ilha Fiscal (RJ)</w:t>
      </w:r>
    </w:p>
    <w:p>
      <w:pPr>
        <w:spacing w:after="120" w:line="288"/>
      </w:pPr>
      <w:r>
        <w:t xml:space="preserve">A Ilha Fiscal, na Baía de Guanabara, tem a </w:t>
      </w:r>
      <w:r>
        <w:rPr>
          <w:b/>
          <w:bCs/>
        </w:rPr>
        <w:t xml:space="preserve">série de nível do mar mais longa do Brasil</w:t>
      </w:r>
      <w:r>
        <w:t xml:space="preserve"> no PSMSL e resolve os principais problemas das estações anteriores.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9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Ilha Fiscal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Cananéia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Imbituba (IBGE)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Período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1963 a 2022 (~59 anos)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1954 a 2006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2001 a 2024 (~23 anos)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Chega perto de hoje?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Completude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94%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Boa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Qualidade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RLR (referência controlada), rede GLOSS (ID 195), operada pela Marinha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RLR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Oficial IBGE, série curta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Uso em artigos revisados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Vários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Poucos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Poucos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Um estudo revisado por pares com esta estação (Carvalho et al., 2024) analisou 1963 a 2017 e encontrou </w:t>
      </w:r>
      <w:r>
        <w:rPr>
          <w:b/>
          <w:bCs/>
        </w:rPr>
        <w:t xml:space="preserve">2,42 mm/ano por regressão linear</w:t>
      </w:r>
      <w:r>
        <w:t xml:space="preserve">, com leve desaceleração entre 1989 e 2016 (1,93 mm/ano). O mesmo estudo testou correlações com índices climáticos (SOI, TSA, AMM) e encontrou correlações </w:t>
      </w:r>
      <w:r>
        <w:rPr>
          <w:b/>
          <w:bCs/>
        </w:rPr>
        <w:t xml:space="preserve">fracas ou inexistentes</w:t>
      </w:r>
      <w:r>
        <w:t xml:space="preserve">, o que indica que a tendência de longo prazo não é dominada por essas oscilações. Isso nos dá um valor publicado para </w:t>
      </w:r>
      <w:r>
        <w:rPr>
          <w:b/>
          <w:bCs/>
        </w:rPr>
        <w:t xml:space="preserve">comparar com o nosso resultado</w:t>
      </w:r>
      <w:r>
        <w:t xml:space="preserve">.</w:t>
      </w:r>
    </w:p>
    <w:p>
      <w:pPr>
        <w:pStyle w:val="Heading2"/>
      </w:pPr>
      <w:r>
        <w:t xml:space="preserve">4.5 O plano: um modelo de projeção validado</w:t>
      </w:r>
    </w:p>
    <w:p>
      <w:pPr>
        <w:spacing w:after="120" w:line="288"/>
      </w:pPr>
      <w:r>
        <w:t xml:space="preserve">Em vez de "provar" um número, o grupo vai </w:t>
      </w:r>
      <w:r>
        <w:rPr>
          <w:b/>
          <w:bCs/>
        </w:rPr>
        <w:t xml:space="preserve">construir um modelo, provar que ele funciona e usá-lo para projetar com margem de erro</w:t>
      </w:r>
      <w:r>
        <w:t xml:space="preserve">. Esse é o "desenvolvimento" do trabalho.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343025"/>
            <wp:effectExtent t="0" r="0" b="0" l="0"/>
            <wp:docPr id="1" name="f07_pipeline.png" descr="As cinco etapas do modelo." title="As cinco etapas do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7. </w:t>
      </w:r>
      <w:r>
        <w:rPr>
          <w:i/>
          <w:iCs/>
          <w:sz w:val="18"/>
          <w:szCs w:val="18"/>
        </w:rPr>
        <w:t xml:space="preserve">As cinco etapas do modelo.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Frase-resumo para usar com o professor</w:t>
            </w:r>
          </w:p>
          <w:p>
            <w:pPr>
              <w:spacing w:after="60" w:line="276"/>
            </w:pPr>
            <w:r>
              <w:t xml:space="preserve">"Criamos um modelo com os dados reais da Ilha Fiscal, provamos que ele funciona testando em anos que ele não viu, projetamos até 2045 com margem de erro e comparamos com o IPCC para mostrar quanto da subida vem do degelo e quanto vem de fatores locais."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Etapa 1: obtenção dos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Fonte:</w:t>
      </w:r>
      <w:r>
        <w:t xml:space="preserve"> PSMSL, estação 1032 (Ilha Fiscal), conjunto </w:t>
      </w:r>
      <w:r>
        <w:rPr>
          <w:b/>
          <w:bCs/>
        </w:rPr>
        <w:t xml:space="preserve">RLR mensal</w:t>
      </w:r>
      <w:r>
        <w:t xml:space="preserve">. Link: psmsl.org/data/obtaining/stations/1032.php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Formato do arquivo:</w:t>
      </w:r>
      <w:r>
        <w:t xml:space="preserve"> texto separado por ponto e vírgula, com 4 colunas: tempo decimal (ex.: 1963.0417 = jan/1963), nível médio em mm, dias faltantes no mês, flag de atenção.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Não usar</w:t>
      </w:r>
      <w:r>
        <w:t xml:space="preserve"> o arquivo "metric" (sem controle de referência) nem dados em tempo real (sem controle de qualidade).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Complementos opcionais:</w:t>
      </w:r>
      <w:r>
        <w:t xml:space="preserve"> dados horários de qualidade de pesquisa do UHSLC (estação 709) para conferência; Cananéia como comparação.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Ferramenta:</w:t>
      </w:r>
      <w:r>
        <w:t xml:space="preserve"> Google Colab (Python no navegador, sem instalar nada), bibliotecas pandas, numpy, statsmodels e matplotlib.</w:t>
      </w:r>
    </w:p>
    <w:p>
      <w:pPr>
        <w:pStyle w:val="Heading2"/>
      </w:pPr>
      <w:r>
        <w:t xml:space="preserve">4.7 Etapa 2: limpeza dos dados</w:t>
      </w:r>
    </w:p>
    <w:p>
      <w:pPr>
        <w:spacing w:after="120" w:line="288"/>
      </w:pPr>
      <w:r>
        <w:t xml:space="preserve">Antes de ensinar qualquer coisa ao modelo, removemos o que está errado ou incompleto. Dado ruim entra, previsão ruim sai.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12_limpeza.png" descr="Regras de limpeza aplicadas a cada registro mensal." title="Regras de limpeza aplicadas a cada registro mens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8. </w:t>
      </w:r>
      <w:r>
        <w:rPr>
          <w:i/>
          <w:iCs/>
          <w:sz w:val="18"/>
          <w:szCs w:val="18"/>
        </w:rPr>
        <w:t xml:space="preserve">Regras de limpeza aplicadas a cada registro mensal.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Valor -99999: descartar o mês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É o código do PSMSL para "sem dado". Se entrar no cálculo, destrói a média.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Flag de atenção: investigar e anotar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PSMSL marca meses suspeitos. Registramos no artigo o que foi feito com eles.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Ano com menos de 10 meses: descartar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Um ano só com meses de verão, por exemplo, teria média enviesada pela sazonalidade.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Troca de sensor em 2011: comparar antes e depois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Mudança de equipamento pode criar um degrau artificial na série.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Usar médias anuais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Tira a variação das estações do ano e deixa a tendência mais visível.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Etapa 3: o algoritmo (regressão)</w:t>
      </w:r>
    </w:p>
    <w:p>
      <w:pPr>
        <w:spacing w:after="120" w:line="288"/>
      </w:pPr>
      <w:r>
        <w:t xml:space="preserve">A </w:t>
      </w:r>
      <w:r>
        <w:rPr>
          <w:b/>
          <w:bCs/>
        </w:rPr>
        <w:t xml:space="preserve">regressão linear</w:t>
      </w:r>
      <w:r>
        <w:t xml:space="preserve"> procura a reta que passa o mais perto possível de todos os pontos. A </w:t>
      </w:r>
      <w:r>
        <w:rPr>
          <w:b/>
          <w:bCs/>
        </w:rPr>
        <w:t xml:space="preserve">inclinação</w:t>
      </w:r>
      <w:r>
        <w:t xml:space="preserve"> dessa reta é a taxa de subida, em mm/ano.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Analogia</w:t>
            </w:r>
          </w:p>
          <w:p>
            <w:pPr>
              <w:spacing w:after="60" w:line="276"/>
            </w:pPr>
            <w:r>
              <w:t xml:space="preserve">Imagine os pontos de um gráfico e uma régua. Você gira e move a régua até ela ficar o mais perto possível de todos os pontos ao mesmo tempo. A regressão faz isso matematicamente, minimizando a soma dos erros ao quadrado (por isso o nome "mínimos quadrados", OLS).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962275"/>
            <wp:effectExtent t="0" r="0" b="0" l="0"/>
            <wp:docPr id="1" name="f08_regressao.png" descr="Regressão linear (reta) e quadrática (curva) sobre dados ilustrativos." title="Regressão linear (reta) e quadrática (curva) sobre dados ilustrat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9. </w:t>
      </w:r>
      <w:r>
        <w:rPr>
          <w:i/>
          <w:iCs/>
          <w:sz w:val="18"/>
          <w:szCs w:val="18"/>
        </w:rPr>
        <w:t xml:space="preserve">Regressão linear (reta) e quadrática (curva) sobre dados ilustrativos.</w:t>
      </w:r>
    </w:p>
    <w:p>
      <w:pPr>
        <w:spacing w:after="120" w:line="288"/>
      </w:pPr>
      <w:r>
        <w:t xml:space="preserve">Vamos testar </w:t>
      </w:r>
      <w:r>
        <w:rPr>
          <w:b/>
          <w:bCs/>
        </w:rPr>
        <w:t xml:space="preserve">dois modelos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Linear: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nível = a + b × ano</w:t>
      </w:r>
      <w:r>
        <w:t xml:space="preserve">. O valor de b é a taxa (mm/ano). Supõe que a subida é constante.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Quadrático: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nível = a + b × t + c × t²</w:t>
      </w:r>
      <w:r>
        <w:t xml:space="preserve">. O termo c mede se a subida está </w:t>
      </w:r>
      <w:r>
        <w:rPr>
          <w:b/>
          <w:bCs/>
        </w:rPr>
        <w:t xml:space="preserve">acelerando</w:t>
      </w:r>
      <w:r>
        <w:t xml:space="preserve"> (como um carro que vai ganhando velocidade).</w:t>
      </w:r>
    </w:p>
    <w:p>
      <w:pPr>
        <w:spacing w:after="120" w:line="288"/>
      </w:pPr>
      <w:r>
        <w:t xml:space="preserve">Quem decide qual modelo é melhor </w:t>
      </w:r>
      <w:r>
        <w:rPr>
          <w:b/>
          <w:bCs/>
        </w:rPr>
        <w:t xml:space="preserve">não é o olho</w:t>
      </w:r>
      <w:r>
        <w:t xml:space="preserve">, é o teste da próxima etapa. Pseudocódigo do algoritmo completo: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dados  = ler_psmsl(1032)                       # Ilha Fiscal, RLR mensal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dados  = remover(dados, nivel == -99999)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anual  = media_por_ano(dados, minimo_meses=10)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treino = anual[1963 .. 2000]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teste  = anual[2001 .. 2022]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 cada modelo em [linear, quadratico]: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    = ajustar(modelo, treino)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 = RMSE(m.prever(teste.anos), teste.niveis)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melhor = modelo com menor erro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 = ajustar(melhor, anual)                 # agora com todos os anos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subida = final.prever(2045) - final.prever(2026)  # com IC 95%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Etapa 4: o teste (backtest)</w:t>
      </w:r>
    </w:p>
    <w:p>
      <w:pPr>
        <w:spacing w:after="120" w:line="288"/>
      </w:pPr>
      <w:r>
        <w:t xml:space="preserve">É o que transforma o trabalho de "fizemos uma conta" em "validamos um modelo". Escondemos do modelo os anos de 2001 a 2022, deixamos ele aprender só com 1963 a 2000 e pedimos que "adivinhe" os anos escondidos. Como sabemos a resposta real, medimos o erro.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f09_linha_tempo.png" descr="Divisão dos dados em treino, teste e projeção." title="Divisão dos dados em treino, teste e proje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10. </w:t>
      </w:r>
      <w:r>
        <w:rPr>
          <w:i/>
          <w:iCs/>
          <w:sz w:val="18"/>
          <w:szCs w:val="18"/>
        </w:rPr>
        <w:t xml:space="preserve">Divisão dos dados em treino, teste e projeção.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Analogia</w:t>
            </w:r>
          </w:p>
          <w:p>
            <w:pPr>
              <w:spacing w:after="60" w:line="276"/>
            </w:pPr>
            <w:r>
              <w:t xml:space="preserve">É uma prova com gabarito escondido. O aluno (modelo) estuda a matéria até 2000 e faz a prova de 2001 a 2022. O professor (nós) confere com o gabarito (dados reais). Se o aluno acertou bem, confiamos mais nele para responder perguntas sobre o futuro.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f10_backtest.png" descr="Como o backtest mede os erros e como a projeção ganha margem (dados ilustrativos)." title="Como o backtest mede os erros e como a projeção ganha margem (dados ilustrativ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11. </w:t>
      </w:r>
      <w:r>
        <w:rPr>
          <w:i/>
          <w:iCs/>
          <w:sz w:val="18"/>
          <w:szCs w:val="18"/>
        </w:rPr>
        <w:t xml:space="preserve">Como o backtest mede os erros e como a projeção ganha margem (dados ilustrativos).</w:t>
      </w:r>
    </w:p>
    <w:p>
      <w:pPr>
        <w:spacing w:after="120" w:line="288"/>
      </w:pPr>
      <w:r>
        <w:t xml:space="preserve">O erro é medido pelo </w:t>
      </w:r>
      <w:r>
        <w:rPr>
          <w:b/>
          <w:bCs/>
        </w:rPr>
        <w:t xml:space="preserve">RMSE</w:t>
      </w:r>
      <w:r>
        <w:t xml:space="preserve">: pegamos a diferença entre previsto e real em cada ano, elevamos ao quadrado, tiramos a média e a raiz. O resultado sai em mm. Exemplo: um RMSE de 30 mm significa que o modelo erra, em média, uns 3 cm por ano de teste. </w:t>
      </w:r>
      <w:r>
        <w:rPr>
          <w:b/>
          <w:bCs/>
        </w:rPr>
        <w:t xml:space="preserve">O modelo com menor RMSE vence.</w:t>
      </w:r>
    </w:p>
    <w:p>
      <w:pPr>
        <w:pStyle w:val="Heading2"/>
      </w:pPr>
      <w:r>
        <w:t xml:space="preserve">4.10 Etapa 5: a projeção</w:t>
      </w:r>
    </w:p>
    <w:p>
      <w:pPr>
        <w:spacing w:after="120" w:line="288"/>
      </w:pPr>
      <w:r>
        <w:t xml:space="preserve">Com o modelo vencedor, reajustamos usando </w:t>
      </w:r>
      <w:r>
        <w:rPr>
          <w:b/>
          <w:bCs/>
        </w:rPr>
        <w:t xml:space="preserve">todos</w:t>
      </w:r>
      <w:r>
        <w:t xml:space="preserve"> os anos (1963 a 2022) e projetamos até 2045 e 2050, sempre com </w:t>
      </w:r>
      <w:r>
        <w:rPr>
          <w:b/>
          <w:bCs/>
        </w:rPr>
        <w:t xml:space="preserve">intervalo de confiança de 95%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F7F7F" w:sz="18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Analogia</w:t>
            </w:r>
          </w:p>
          <w:p>
            <w:pPr>
              <w:spacing w:after="60" w:line="276"/>
            </w:pPr>
            <w:r>
              <w:t xml:space="preserve">É como a margem de erro de uma pesquisa eleitoral: "candidato com 40%, margem de 3 pontos". Nós diremos "subida de X cm, entre Y e Z cm". Quanto mais longe no futuro, maior a margem, por isso o leque da Figura 11 se abre.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Comparação com o IPCC:</w:t>
      </w:r>
      <w:r>
        <w:t xml:space="preserve"> o portal da NASA (IPCC AR6 Sea Level Projection Tool) permite obter as projeções oficiais para a localização do Rio de Janeiro. Colocamos a nossa projeção e a do IPCC no mesmo gráfico.</w:t>
      </w:r>
    </w:p>
    <w:p>
      <w:pPr>
        <w:spacing w:after="120" w:line="288"/>
      </w:pPr>
      <w:r>
        <w:rPr>
          <w:b/>
          <w:bCs/>
        </w:rPr>
        <w:t xml:space="preserve">Teste da hipótese dos 30 cm:</w:t>
      </w:r>
      <w:r>
        <w:t xml:space="preserve"> em vez de afirmar um número, </w:t>
      </w:r>
      <w:r>
        <w:rPr>
          <w:b/>
          <w:bCs/>
        </w:rPr>
        <w:t xml:space="preserve">testamos</w:t>
      </w:r>
      <w:r>
        <w:t xml:space="preserve"> a hipótese "o mar do Rio subirá 30 cm até 2045". As estimativas preliminares indicam que isso é improvável: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f11_hipotese.png" descr="Estimativas aproximadas da subida entre 2026 e 2045 comparadas à hipótese de 30 cm." title="Estimativas aproximadas da subida entre 2026 e 2045 comparadas à hipótese de 30 c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12. </w:t>
      </w:r>
      <w:r>
        <w:rPr>
          <w:i/>
          <w:iCs/>
          <w:sz w:val="18"/>
          <w:szCs w:val="18"/>
        </w:rPr>
        <w:t xml:space="preserve">Estimativas aproximadas da subida entre 2026 e 2045 comparadas à hipótese de 30 cm.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tendência histórica da Ilha Fiscal (2,2 a 2,4 mm/ano) dá cerca de 4 a 5 cm em 19 anos.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Pelo IPCC, entre 2026 e 2045 a subida global fica em cerca de 8 a 13 cm, dependendo do cenário.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 chegar a 30 cm em 19 anos seriam necessários cerca de 16 mm/ano, bem acima de qualquer cenário provável.</w:t>
      </w:r>
    </w:p>
    <w:p>
      <w:pPr>
        <w:spacing w:after="120" w:line="288"/>
      </w:pPr>
      <w:r>
        <w:t xml:space="preserve">Seja qual for o resultado final, ele vira conclusão do artigo. Um resultado que </w:t>
      </w:r>
      <w:r>
        <w:rPr>
          <w:b/>
          <w:bCs/>
        </w:rPr>
        <w:t xml:space="preserve">rejeita</w:t>
      </w:r>
      <w:r>
        <w:t xml:space="preserve"> a hipótese é tão válido quanto um que a confirma.</w:t>
      </w:r>
    </w:p>
    <w:p>
      <w:pPr>
        <w:pStyle w:val="Heading2"/>
      </w:pPr>
      <w:r>
        <w:t xml:space="preserve">4.11 Quanto da subida vem do degelo</w:t>
      </w:r>
    </w:p>
    <w:p>
      <w:pPr>
        <w:spacing w:after="120" w:line="288"/>
      </w:pPr>
      <w:r>
        <w:t xml:space="preserve">Aqui o Tópico 3 se conecta com o Tópico 1. Para o </w:t>
      </w:r>
      <w:r>
        <w:rPr>
          <w:b/>
          <w:bCs/>
        </w:rPr>
        <w:t xml:space="preserve">mesmo período</w:t>
      </w:r>
      <w:r>
        <w:t xml:space="preserve"> (1993 a 2020):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parcela_degelo = taxa_degelo (Tópico 1, mm/ano) / taxa_Ilha_Fiscal (Tópico 3, mm/ano)</w:t>
            </w:r>
          </w:p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resto          = expansão térmica + geleiras + efeitos locais (solo, vento, pressão)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Isso responde, com números, a pergunta que motivou o debate do grupo: </w:t>
      </w:r>
      <w:r>
        <w:rPr>
          <w:b/>
          <w:bCs/>
        </w:rPr>
        <w:t xml:space="preserve">o degelo é uma parte da subida no Brasil, mas não a única</w:t>
      </w:r>
      <w:r>
        <w:t xml:space="preserve">.</w:t>
      </w:r>
    </w:p>
    <w:p>
      <w:pPr>
        <w:pStyle w:val="Heading2"/>
      </w:pPr>
      <w:r>
        <w:t xml:space="preserve">4.12 Outros fatores e lacunas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Fator ou lacuna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Efeito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Como tratamos no artigo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Baía de Guanabara (estuário urbano)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Ventos, aterros e sedimentos afetam o nível local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Declarar como limitação; comparar com a literatura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Troca de sensor em 2011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Possível degrau na série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Comparar médias antes/depois na limpeza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Sem GPS colado ao marégrafo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 medimos quanto o solo afunda ali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Citar a estação GNSS próxima (ONRJ, no SONEL) como referência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Dados terminam em 2022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Projeção começa de 2022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Informar no texto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Regressão extrapola o passado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Não capta aceleração futura do degelo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Por isso comparamos com o IPCC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Autocorrelação da série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IC do OLS fica estreito demais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Declarar; se houver tempo, usar erros HAC ou bootstrap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Nível relativo x absoluto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Marégrafo mistura mar e solo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Explicar com a Figura 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Checklist do Tópico 3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Criar o notebook no Colab e baixar a Ilha Fiscal (RLR mensal).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Aplicar as regras de limpeza e gerar o gráfico da série anual.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Ajustar regressão linear e quadrática.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Fazer o backtest (treino 1963 a 2000, teste 2001 a 2022) e calcular o RMSE de cada modelo.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Projetar 2045 e 2050 com IC 95% usando o modelo vencedor.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Obter a projeção do IPCC AR6 para o Rio e montar o gráfico comparativo.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Testar a hipótese dos 30 cm.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Calcular a parcela do degelo com a taxa entregue pelo Tópico 1.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Comparar a nossa taxa com Carvalho et al. (2024) e citar Cananéia/Imbituba como exemplos de limitação.</w:t>
      </w:r>
    </w:p>
    <w:p>
      <w:pPr>
        <w:pStyle w:val="Heading1"/>
        <w:pageBreakBefore/>
      </w:pPr>
      <w:r>
        <w:t xml:space="preserve">5. Cronograma até a apresentação final (13/11)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f13_gantt.png" descr="Visão geral do cronograma sugerido." title="Visão geral do cronograma suger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Figura 13. </w:t>
      </w:r>
      <w:r>
        <w:rPr>
          <w:i/>
          <w:iCs/>
          <w:sz w:val="18"/>
          <w:szCs w:val="18"/>
        </w:rPr>
        <w:t xml:space="preserve">Visão geral do cronograma sugerido.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850"/>
        <w:gridCol w:w="1800"/>
        <w:gridCol w:w="1900"/>
        <w:gridCol w:w="1826"/>
      </w:tblGrid>
      <w:tr>
        <w:trPr>
          <w:tblHeader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Semana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Tópico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Tópico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Tópico 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21/09 a 25/09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Taxas iniciais IMBIE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Organizar fontes AMOC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Colab + dados Ilha Fiscal + 1º gráfico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Apresentação parcial (25/09)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28/09 a 02/10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Taxas 1993-2020 por manto + gráfico acumulado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Revisão: mecanismo e observações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Limpeza completa + regressões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05/10 a 09/10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Entregas para T2 e T3; GRACE Groenlândia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Dados RAPID + tendência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Backtest + RMSE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12/10 a 16/10 (12/10 feriado)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Contribuição projetada (IPCC)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Impactos no Brasil + gráficos finais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Projeção, IC, IPCC, teste 30 cm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19/10 a 23/10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Parcela do degelo + comparações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 de metodologia e resultados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26/10 a 30/10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Introdução, discussão, conclusão; integrar o artigo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02/11 a 06/11 (02/11 feriado)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Revisão, ABNT, figuras, slides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09/11 a 13/11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Ensaio e apresentação final (13/11)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Plano até a apresentação de 25/09</w:t>
      </w:r>
    </w:p>
    <w:p>
      <w:pPr>
        <w:spacing w:after="120" w:line="288"/>
      </w:pPr>
      <w:r>
        <w:t xml:space="preserve">Formato: </w:t>
      </w:r>
      <w:r>
        <w:rPr>
          <w:b/>
          <w:bCs/>
        </w:rPr>
        <w:t xml:space="preserve">2 minutos por integrante</w:t>
      </w:r>
      <w:r>
        <w:t xml:space="preserve">, apresentando o que estamos desenvolvendo, o que descobrimos e informações interessantes sobre o tema. Cada dupla divide o seu tópico em duas falas.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Dia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Seg 21/09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Todos leem este guia. Cada dupla escolhe quem fala o quê. T3: criar o Colab e baixar a Ilha Fiscal.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Ter 22/09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T1: calcular a taxa média do degelo 1993-2020 no arquivo em mm. T2: separar as 2 ou 3 descobertas mais fortes. T3: limpeza e gráfico da série anual.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 23/09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T3: primeira regressão linear (taxa em mm/ano) e comparação com os 2,42 mm/ano publicados. Cada integrante monta 1 ou 2 slides.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Qui 24/09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Juntar os slides e ensaiar com cronômetro (12 minutos no total).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Sex 25/09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Apresentação.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Sugestão de roteiro (12 minutos)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Fala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Informação interessante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T1, integrante 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que é o degelo e quanto gelo foi perdido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perda mais que triplicou: de 105 para 372 Gt/ano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T1, integrante 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Gelo que flutua x gelo sobre a terra; dados IMBIE e GRACE; IA com emulação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Gelo do Ártico derretendo quase não sobe o mar (analogia do copo)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T2, integrante 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que é a AMOC (esteira) e como a água doce a enfraquece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Atlântico Norte já mostra queda; o Sul ainda não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T2, integrante 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Impactos no clima do Brasil (ZCIT, chuvas)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AMOC mais fraca pode trazer mais chuva ao leste do Nordeste e seca à Amazônia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T3, integrante 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que tentamos (Cananéia, Imbituba) e o que aprendemos sobre fatores locais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marégrafo mede o mar e o chão ao mesmo tempo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T3, integrante B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Ilha Fiscal e o modelo validado (treino, teste, projeção) + primeiro resultado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59 anos de dados; a hipótese dos 30 cm até 2045 será testada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Referências</w:t>
      </w:r>
    </w:p>
    <w:p>
      <w:pPr>
        <w:spacing w:after="100" w:line="276"/>
      </w:pPr>
      <w:r>
        <w:t xml:space="preserve">BONAN, D. B. et al. Observational constraints imply limited future Atlantic meridional overturning circulation weakening. </w:t>
      </w:r>
      <w:r>
        <w:rPr>
          <w:b/>
          <w:bCs/>
        </w:rPr>
        <w:t xml:space="preserve">Nature Geoscience</w:t>
      </w:r>
      <w:r>
        <w:t xml:space="preserve">, v. 18, p. 479-487, 2025. DOI: 10.1038/s41561-025-01709-0.</w:t>
      </w:r>
      <w:r>
        <w:t xml:space="preserve"> Disponível em: </w:t>
      </w:r>
      <w:hyperlink w:history="1" r:id="rIddkuixsvcs46kejxsvhin1">
        <w:r>
          <w:rPr>
            <w:rStyle w:val="Hyperlink"/>
          </w:rPr>
          <w:t xml:space="preserve">https://doi.org/10.1038/s41561-025-01709-0</w:t>
        </w:r>
      </w:hyperlink>
      <w:r>
        <w:t xml:space="preserve">. Acesso em: 20 set. 2026.</w:t>
      </w:r>
    </w:p>
    <w:p>
      <w:pPr>
        <w:spacing w:after="100" w:line="276"/>
      </w:pPr>
      <w:r>
        <w:t xml:space="preserve">CALDWELL, P. C.; MERRIFIELD, M. A.; THOMPSON, P. R. Sea level measured by tide gauges from global oceans: the Joint Archive for Sea Level holdings (NCEI Accession 0019568), Version 5.5. NOAA National Centers for Environmental Information, 2015. DOI: 10.7289/V5V40S7W.</w:t>
      </w:r>
      <w:r>
        <w:t xml:space="preserve"> Disponível em: </w:t>
      </w:r>
      <w:hyperlink w:history="1" r:id="rIdy0fwolpkgiijucasovkl3">
        <w:r>
          <w:rPr>
            <w:rStyle w:val="Hyperlink"/>
          </w:rPr>
          <w:t xml:space="preserve">https://doi.org/10.7289/V5V40S7W</w:t>
        </w:r>
      </w:hyperlink>
      <w:r>
        <w:t xml:space="preserve">. Acesso em: 20 set. 2026.</w:t>
      </w:r>
    </w:p>
    <w:p>
      <w:pPr>
        <w:spacing w:after="100" w:line="276"/>
      </w:pPr>
      <w:r>
        <w:t xml:space="preserve">CARVALHO, B. C.; ARAUJO, T. A. A.; GUERRA, J. V.; REIS, A. T. dos. Mean sea level trends based on tide gauge records and their possible morphological effects on the coastline of southern Rio de Janeiro (SE Brazil). </w:t>
      </w:r>
      <w:r>
        <w:rPr>
          <w:b/>
          <w:bCs/>
        </w:rPr>
        <w:t xml:space="preserve">Thalassas</w:t>
      </w:r>
      <w:r>
        <w:t xml:space="preserve">, v. 40, p. 261-272, 2024. DOI: 10.1007/s41208-023-00618-6.</w:t>
      </w:r>
      <w:r>
        <w:t xml:space="preserve"> Disponível em: </w:t>
      </w:r>
      <w:hyperlink w:history="1" r:id="rIdliaqxlvkk0r0ov-gm45s3">
        <w:r>
          <w:rPr>
            <w:rStyle w:val="Hyperlink"/>
          </w:rPr>
          <w:t xml:space="preserve">https://link.springer.com/article/10.1007/s41208-023-00618-6</w:t>
        </w:r>
      </w:hyperlink>
      <w:r>
        <w:t xml:space="preserve">. Acesso em: 20 set. 2026.</w:t>
      </w:r>
    </w:p>
    <w:p>
      <w:pPr>
        <w:spacing w:after="100" w:line="276"/>
      </w:pPr>
      <w:r>
        <w:t xml:space="preserve">FOX-KEMPER, B. et al. Ocean, cryosphere and sea level change. In: IPCC. </w:t>
      </w:r>
      <w:r>
        <w:rPr>
          <w:b/>
          <w:bCs/>
        </w:rPr>
        <w:t xml:space="preserve">Climate Change 2021: The Physical Science Basis</w:t>
      </w:r>
      <w:r>
        <w:t xml:space="preserve">. Cambridge: Cambridge University Press, 2021. p. 1211-1362.</w:t>
      </w:r>
      <w:r>
        <w:t xml:space="preserve"> Disponível em: </w:t>
      </w:r>
      <w:hyperlink w:history="1" r:id="rIdvvlbc3ykx1c87qyq21c6o">
        <w:r>
          <w:rPr>
            <w:rStyle w:val="Hyperlink"/>
          </w:rPr>
          <w:t xml:space="preserve">https://www.ipcc.ch/report/ar6/wg1/chapter/chapter-9/</w:t>
        </w:r>
      </w:hyperlink>
      <w:r>
        <w:t xml:space="preserve">. Acesso em: 20 set. 2026.</w:t>
      </w:r>
    </w:p>
    <w:p>
      <w:pPr>
        <w:spacing w:after="100" w:line="276"/>
      </w:pPr>
      <w:r>
        <w:t xml:space="preserve">HOLGATE, S. J. et al. New data systems and products at the Permanent Service for Mean Sea Level. </w:t>
      </w:r>
      <w:r>
        <w:rPr>
          <w:b/>
          <w:bCs/>
        </w:rPr>
        <w:t xml:space="preserve">Journal of Coastal Research</w:t>
      </w:r>
      <w:r>
        <w:t xml:space="preserve">, v. 29, n. 3, p. 493-504, 2013. DOI: 10.2112/JCOASTRES-D-12-00175.1.</w:t>
      </w:r>
      <w:r>
        <w:t xml:space="preserve"> Disponível em: </w:t>
      </w:r>
      <w:hyperlink w:history="1" r:id="rIdjnpkhipwj2twkckeewmzv">
        <w:r>
          <w:rPr>
            <w:rStyle w:val="Hyperlink"/>
          </w:rPr>
          <w:t xml:space="preserve">https://doi.org/10.2112/JCOASTRES-D-12-00175.1</w:t>
        </w:r>
      </w:hyperlink>
      <w:r>
        <w:t xml:space="preserve">. Acesso em: 20 set. 2026.</w:t>
      </w:r>
    </w:p>
    <w:p>
      <w:pPr>
        <w:spacing w:after="100" w:line="276"/>
      </w:pPr>
      <w:r>
        <w:t xml:space="preserve">IBGE. </w:t>
      </w:r>
      <w:r>
        <w:rPr>
          <w:b/>
          <w:bCs/>
        </w:rPr>
        <w:t xml:space="preserve">Rede Maregráfica Permanente para Geodésia (RMPG)</w:t>
      </w:r>
      <w:r>
        <w:t xml:space="preserve">.</w:t>
      </w:r>
      <w:r>
        <w:t xml:space="preserve"> Disponível em: </w:t>
      </w:r>
      <w:hyperlink w:history="1" r:id="rIdskqzz7cwvf8mxqogsx9rk">
        <w:r>
          <w:rPr>
            <w:rStyle w:val="Hyperlink"/>
          </w:rPr>
          <w:t xml:space="preserve">https://www.ibge.gov.br/geociencias/informacoes-sobre-posicionamento-geodesico/rede-geodesica/10842-rmpg-rede-maregrafica-permanente-para-geodesia.html</w:t>
        </w:r>
      </w:hyperlink>
      <w:r>
        <w:t xml:space="preserve">. Acesso em: 20 set. 2026.</w:t>
      </w:r>
    </w:p>
    <w:p>
      <w:pPr>
        <w:spacing w:after="100" w:line="276"/>
      </w:pPr>
      <w:r>
        <w:t xml:space="preserve">IPCC. </w:t>
      </w:r>
      <w:r>
        <w:rPr>
          <w:b/>
          <w:bCs/>
        </w:rPr>
        <w:t xml:space="preserve">Climate Change 2023: Synthesis Report</w:t>
      </w:r>
      <w:r>
        <w:t xml:space="preserve">. Figura 3.4: Sea level rise, observations and projections.</w:t>
      </w:r>
      <w:r>
        <w:t xml:space="preserve"> Disponível em: </w:t>
      </w:r>
      <w:hyperlink w:history="1" r:id="rIdti9u20e5osexg52om-wv5">
        <w:r>
          <w:rPr>
            <w:rStyle w:val="Hyperlink"/>
          </w:rPr>
          <w:t xml:space="preserve">https://www.ipcc.ch/report/ar6/syr/figures/figure-3-4</w:t>
        </w:r>
      </w:hyperlink>
      <w:r>
        <w:t xml:space="preserve">. Acesso em: 20 set. 2026.</w:t>
      </w:r>
    </w:p>
    <w:p>
      <w:pPr>
        <w:spacing w:after="100" w:line="276"/>
      </w:pPr>
      <w:r>
        <w:t xml:space="preserve">KOMAROV, </w:t>
      </w:r>
      <w:r>
        <w:rPr>
          <w:b/>
          <w:bCs/>
          <w:highlight w:val="yellow"/>
          <w:highlightCs w:val="yellow"/>
        </w:rPr>
        <w:t xml:space="preserve">[conferir iniciais]</w:t>
      </w:r>
      <w:r>
        <w:t xml:space="preserve">; AMORIM, </w:t>
      </w:r>
      <w:r>
        <w:rPr>
          <w:b/>
          <w:bCs/>
          <w:highlight w:val="yellow"/>
          <w:highlightCs w:val="yellow"/>
        </w:rPr>
        <w:t xml:space="preserve">[conferir]</w:t>
      </w:r>
      <w:r>
        <w:t xml:space="preserve">; SENNA, </w:t>
      </w:r>
      <w:r>
        <w:rPr>
          <w:b/>
          <w:bCs/>
          <w:highlight w:val="yellow"/>
          <w:highlightCs w:val="yellow"/>
        </w:rPr>
        <w:t xml:space="preserve">[conferir]</w:t>
      </w:r>
      <w:r>
        <w:t xml:space="preserve">. </w:t>
      </w:r>
      <w:r>
        <w:rPr>
          <w:b/>
          <w:bCs/>
          <w:highlight w:val="yellow"/>
          <w:highlightCs w:val="yellow"/>
        </w:rPr>
        <w:t xml:space="preserve">[Conferir título]</w:t>
      </w:r>
      <w:r>
        <w:t xml:space="preserve">. </w:t>
      </w:r>
      <w:r>
        <w:rPr>
          <w:b/>
          <w:bCs/>
        </w:rPr>
        <w:t xml:space="preserve">Earth Interactions</w:t>
      </w:r>
      <w:r>
        <w:t xml:space="preserve">, v. 30, n. 1, 2026. (Fonte levantada pelo Tópico 2.)</w:t>
      </w:r>
      <w:r>
        <w:t xml:space="preserve"> Disponível em: </w:t>
      </w:r>
      <w:hyperlink w:history="1" r:id="rIdboztcuz3dniwp7qxw4nsr">
        <w:r>
          <w:rPr>
            <w:rStyle w:val="Hyperlink"/>
          </w:rPr>
          <w:t xml:space="preserve">https://journals.ametsoc.org/view/journals/eint/30/1/EI-D-25-0050.1.xml</w:t>
        </w:r>
      </w:hyperlink>
      <w:r>
        <w:t xml:space="preserve">. Acesso em: 20 set. 2026.</w:t>
      </w:r>
    </w:p>
    <w:p>
      <w:pPr>
        <w:spacing w:after="100" w:line="276"/>
      </w:pPr>
      <w:r>
        <w:t xml:space="preserve">NASA. </w:t>
      </w:r>
      <w:r>
        <w:rPr>
          <w:b/>
          <w:bCs/>
        </w:rPr>
        <w:t xml:space="preserve">IPCC AR6 Sea Level Projection Tool</w:t>
      </w:r>
      <w:r>
        <w:t xml:space="preserve">.</w:t>
      </w:r>
      <w:r>
        <w:t xml:space="preserve"> Disponível em: </w:t>
      </w:r>
      <w:hyperlink w:history="1" r:id="rIdq94fdrzkkdpv0ta0e63eg">
        <w:r>
          <w:rPr>
            <w:rStyle w:val="Hyperlink"/>
          </w:rPr>
          <w:t xml:space="preserve">https://sealevel.nasa.gov/ipcc-ar6-sealevel-projection-tool</w:t>
        </w:r>
      </w:hyperlink>
      <w:r>
        <w:t xml:space="preserve">. Acesso em: 20 set. 2026.</w:t>
      </w:r>
    </w:p>
    <w:p>
      <w:pPr>
        <w:spacing w:after="100" w:line="276"/>
      </w:pPr>
      <w:r>
        <w:t xml:space="preserve">OTOSAKA, I. N. et al. Mass balance of the Greenland and Antarctic ice sheets from 1992 to 2020. </w:t>
      </w:r>
      <w:r>
        <w:rPr>
          <w:b/>
          <w:bCs/>
        </w:rPr>
        <w:t xml:space="preserve">Earth System Science Data</w:t>
      </w:r>
      <w:r>
        <w:t xml:space="preserve">, v. 15, p. 1597-1616, 2023. DOI: 10.5194/essd-15-1597-2023.</w:t>
      </w:r>
      <w:r>
        <w:t xml:space="preserve"> Disponível em: </w:t>
      </w:r>
      <w:hyperlink w:history="1" r:id="rIdzwaz8j8im3hooei2dsqig">
        <w:r>
          <w:rPr>
            <w:rStyle w:val="Hyperlink"/>
          </w:rPr>
          <w:t xml:space="preserve">https://doi.org/10.5194/essd-15-1597-2023</w:t>
        </w:r>
      </w:hyperlink>
      <w:r>
        <w:t xml:space="preserve">. Acesso em: 20 set. 2026.</w:t>
      </w:r>
    </w:p>
    <w:p>
      <w:pPr>
        <w:spacing w:after="100" w:line="276"/>
      </w:pPr>
      <w:r>
        <w:t xml:space="preserve">PERMANENT SERVICE FOR MEAN SEA LEVEL (PSMSL). </w:t>
      </w:r>
      <w:r>
        <w:rPr>
          <w:b/>
          <w:bCs/>
        </w:rPr>
        <w:t xml:space="preserve">Tide Gauge Data: Ilha Fiscal (estação 1032)</w:t>
      </w:r>
      <w:r>
        <w:t xml:space="preserve">.</w:t>
      </w:r>
      <w:r>
        <w:t xml:space="preserve"> Disponível em: </w:t>
      </w:r>
      <w:hyperlink w:history="1" r:id="rIdv0s2pbdvtwa8qx9dcq_dt">
        <w:r>
          <w:rPr>
            <w:rStyle w:val="Hyperlink"/>
          </w:rPr>
          <w:t xml:space="preserve">https://psmsl.org/data/obtaining/stations/1032.php</w:t>
        </w:r>
      </w:hyperlink>
      <w:r>
        <w:t xml:space="preserve">. Acesso em: 20 set. 2026.</w:t>
      </w:r>
    </w:p>
    <w:p>
      <w:pPr>
        <w:spacing w:after="100" w:line="276"/>
      </w:pPr>
      <w:r>
        <w:t xml:space="preserve">PONTES, G. M.; MENVIEL, L. Weakening of the Atlantic Meridional Overturning Circulation driven by subarctic freshening since the mid-twentieth century. </w:t>
      </w:r>
      <w:r>
        <w:rPr>
          <w:b/>
          <w:bCs/>
        </w:rPr>
        <w:t xml:space="preserve">Nature Geoscience</w:t>
      </w:r>
      <w:r>
        <w:t xml:space="preserve">, v. 17, p. 1291-1298, 2024. DOI: 10.1038/s41561-024-01568-1.</w:t>
      </w:r>
      <w:r>
        <w:t xml:space="preserve"> Disponível em: </w:t>
      </w:r>
      <w:hyperlink w:history="1" r:id="rIdbg6xsqocjvrlq93lq2jwt">
        <w:r>
          <w:rPr>
            <w:rStyle w:val="Hyperlink"/>
          </w:rPr>
          <w:t xml:space="preserve">https://doi.org/10.1038/s41561-024-01568-1</w:t>
        </w:r>
      </w:hyperlink>
      <w:r>
        <w:t xml:space="preserve">. Acesso em: 20 set. 2026.</w:t>
      </w:r>
    </w:p>
    <w:p>
      <w:pPr>
        <w:spacing w:after="100" w:line="276"/>
      </w:pPr>
      <w:r>
        <w:t xml:space="preserve">VILELA, I.; DE LUCA, P.; KOSEKI, S.; SILVA, T.; VELEDA, D.; KEENLYSIDE, N. AMOC weakening modulates global warming impacts on precipitation over Brazil. </w:t>
      </w:r>
      <w:r>
        <w:rPr>
          <w:b/>
          <w:bCs/>
        </w:rPr>
        <w:t xml:space="preserve">npj Climate and Atmospheric Science</w:t>
      </w:r>
      <w:r>
        <w:t xml:space="preserve">, v. 8, art. 369, 2025. DOI: 10.1038/s41612-025-01248-w.</w:t>
      </w:r>
      <w:r>
        <w:t xml:space="preserve"> Disponível em: </w:t>
      </w:r>
      <w:hyperlink w:history="1" r:id="rIdxmxgtszxkdz5ciyoh5q38">
        <w:r>
          <w:rPr>
            <w:rStyle w:val="Hyperlink"/>
          </w:rPr>
          <w:t xml:space="preserve">https://www.nature.com/articles/s41612-025-01248-w</w:t>
        </w:r>
      </w:hyperlink>
      <w:r>
        <w:t xml:space="preserve">. Acesso em: 20 set. 2026.</w:t>
      </w:r>
    </w:p>
    <w:p>
      <w:pPr>
        <w:spacing w:after="100" w:line="276"/>
      </w:pPr>
      <w:r>
        <w:t xml:space="preserve">WIESE, D. N. et al. JPL GRACE and GRACE-FO Mascon Ocean, Ice, and Hydrology Equivalent Water Height RL06.3M CRI Filtered Version 4.0. PO.DAAC, 2022. DOI: 10.5067/TEMSC-3JC634.</w:t>
      </w:r>
      <w:r>
        <w:t xml:space="preserve"> Disponível em: </w:t>
      </w:r>
      <w:hyperlink w:history="1" r:id="rIdgv6wbz_kb7wisjzp6l3pt">
        <w:r>
          <w:rPr>
            <w:rStyle w:val="Hyperlink"/>
          </w:rPr>
          <w:t xml:space="preserve">https://doi.org/10.5067/TEMSC-3JC634</w:t>
        </w:r>
      </w:hyperlink>
      <w:r>
        <w:t xml:space="preserve">. Acesso em: 20 set. 2026.</w:t>
      </w:r>
    </w:p>
    <w:p>
      <w:pPr>
        <w:spacing w:after="120" w:line="288"/>
      </w:pPr>
      <w:r>
        <w:rPr>
          <w:i/>
          <w:iCs/>
          <w:sz w:val="19"/>
          <w:szCs w:val="19"/>
        </w:rPr>
        <w:t xml:space="preserve">Observação: Edwards et al. (2021), Bakker et al. (2017) e Bamber et al. (2019), citados pelo Tópico 1, devem entrar nesta lista com os dados completos da publicação original.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Guia do Grupo | Tendências da Computação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kuixsvcs46kejxsvhin1" Type="http://schemas.openxmlformats.org/officeDocument/2006/relationships/hyperlink" Target="https://doi.org/10.1038/s41561-025-01709-0" TargetMode="External"/><Relationship Id="rIdy0fwolpkgiijucasovkl3" Type="http://schemas.openxmlformats.org/officeDocument/2006/relationships/hyperlink" Target="https://doi.org/10.7289/V5V40S7W" TargetMode="External"/><Relationship Id="rIdliaqxlvkk0r0ov-gm45s3" Type="http://schemas.openxmlformats.org/officeDocument/2006/relationships/hyperlink" Target="https://link.springer.com/article/10.1007/s41208-023-00618-6" TargetMode="External"/><Relationship Id="rIdvvlbc3ykx1c87qyq21c6o" Type="http://schemas.openxmlformats.org/officeDocument/2006/relationships/hyperlink" Target="https://www.ipcc.ch/report/ar6/wg1/chapter/chapter-9/" TargetMode="External"/><Relationship Id="rIdjnpkhipwj2twkckeewmzv" Type="http://schemas.openxmlformats.org/officeDocument/2006/relationships/hyperlink" Target="https://doi.org/10.2112/JCOASTRES-D-12-00175.1" TargetMode="External"/><Relationship Id="rIdskqzz7cwvf8mxqogsx9rk" Type="http://schemas.openxmlformats.org/officeDocument/2006/relationships/hyperlink" Target="https://www.ibge.gov.br/geociencias/informacoes-sobre-posicionamento-geodesico/rede-geodesica/10842-rmpg-rede-maregrafica-permanente-para-geodesia.html" TargetMode="External"/><Relationship Id="rIdti9u20e5osexg52om-wv5" Type="http://schemas.openxmlformats.org/officeDocument/2006/relationships/hyperlink" Target="https://www.ipcc.ch/report/ar6/syr/figures/figure-3-4" TargetMode="External"/><Relationship Id="rIdboztcuz3dniwp7qxw4nsr" Type="http://schemas.openxmlformats.org/officeDocument/2006/relationships/hyperlink" Target="https://journals.ametsoc.org/view/journals/eint/30/1/EI-D-25-0050.1.xml" TargetMode="External"/><Relationship Id="rIdq94fdrzkkdpv0ta0e63eg" Type="http://schemas.openxmlformats.org/officeDocument/2006/relationships/hyperlink" Target="https://sealevel.nasa.gov/ipcc-ar6-sealevel-projection-tool" TargetMode="External"/><Relationship Id="rIdzwaz8j8im3hooei2dsqig" Type="http://schemas.openxmlformats.org/officeDocument/2006/relationships/hyperlink" Target="https://doi.org/10.5194/essd-15-1597-2023" TargetMode="External"/><Relationship Id="rIdv0s2pbdvtwa8qx9dcq_dt" Type="http://schemas.openxmlformats.org/officeDocument/2006/relationships/hyperlink" Target="https://psmsl.org/data/obtaining/stations/1032.php" TargetMode="External"/><Relationship Id="rIdbg6xsqocjvrlq93lq2jwt" Type="http://schemas.openxmlformats.org/officeDocument/2006/relationships/hyperlink" Target="https://doi.org/10.1038/s41561-024-01568-1" TargetMode="External"/><Relationship Id="rIdxmxgtszxkdz5ciyoh5q38" Type="http://schemas.openxmlformats.org/officeDocument/2006/relationships/hyperlink" Target="https://www.nature.com/articles/s41612-025-01248-w" TargetMode="External"/><Relationship Id="rIdgv6wbz_kb7wisjzp6l3pt" Type="http://schemas.openxmlformats.org/officeDocument/2006/relationships/hyperlink" Target="https://doi.org/10.5067/TEMSC-3JC634" TargetMode="External"/><Relationship Id="rId9" Type="http://schemas.openxmlformats.org/officeDocument/2006/relationships/image" Target="media/185f87cab0af235cc0fb73d81b0683aa3a56e026.png"/><Relationship Id="rId10" Type="http://schemas.openxmlformats.org/officeDocument/2006/relationships/image" Target="media/4c161021b1b8a8c11a54e9d7bfc1377095fd3ba3.png"/><Relationship Id="rId11" Type="http://schemas.openxmlformats.org/officeDocument/2006/relationships/image" Target="media/e8b104a91bc2fa793cadffb5e7cdbffe0edccf9e.png"/><Relationship Id="rId12" Type="http://schemas.openxmlformats.org/officeDocument/2006/relationships/image" Target="media/94746126cffea743c2ea9510969ec55b9c49e322.png"/><Relationship Id="rId13" Type="http://schemas.openxmlformats.org/officeDocument/2006/relationships/image" Target="media/2d12df25f8590e249e43f8697455a7faa55a7f21.png"/><Relationship Id="rId14" Type="http://schemas.openxmlformats.org/officeDocument/2006/relationships/image" Target="media/b662e7aabd0de88cbf2d7dfc62ffc68384193f1d.png"/><Relationship Id="rId15" Type="http://schemas.openxmlformats.org/officeDocument/2006/relationships/image" Target="media/fd524d199ec22dcd30a4d084de5855b1b558679b.png"/><Relationship Id="rId16" Type="http://schemas.openxmlformats.org/officeDocument/2006/relationships/image" Target="media/3161f3cd055628d524343070480b377cab2c8b39.png"/><Relationship Id="rId17" Type="http://schemas.openxmlformats.org/officeDocument/2006/relationships/image" Target="media/646e36547cab8d7ec4635aaae1ce297dcbec3a64.png"/><Relationship Id="rId18" Type="http://schemas.openxmlformats.org/officeDocument/2006/relationships/image" Target="media/0249f930ebf24a09798c47024dad6f6b3d9e916a.png"/><Relationship Id="rId19" Type="http://schemas.openxmlformats.org/officeDocument/2006/relationships/image" Target="media/3cc72d9b7cb1abffc7dd1e7d0626b23d9e81477d.png"/><Relationship Id="rId20" Type="http://schemas.openxmlformats.org/officeDocument/2006/relationships/image" Target="media/8c402c71db14e4180d5e72b864a33d985355ed0c.png"/><Relationship Id="rId21" Type="http://schemas.openxmlformats.org/officeDocument/2006/relationships/image" Target="media/552cb258c59f24593d87cdebdf443a64196970eb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Grupo: degelo e impactos no Brasil</dc:title>
  <dc:creator>Grupo Tendências da Computação</dc:creator>
  <cp:lastModifiedBy>Un-named</cp:lastModifiedBy>
  <cp:revision>1</cp:revision>
  <dcterms:created xsi:type="dcterms:W3CDTF">2026-09-20T03:18:08.976Z</dcterms:created>
  <dcterms:modified xsi:type="dcterms:W3CDTF">2026-09-20T03:18:08.976Z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