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600" w:after="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sz w:val="26"/>
          <w:szCs w:val="26"/>
        </w:rPr>
        <w:t>PROJEÇÕES TECNOLÓGICAS E DE IA SOBRE O IMPACTO DO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sz w:val="26"/>
          <w:szCs w:val="26"/>
        </w:rPr>
        <w:t>DERRETIMENTO DAS CALOTAS POLARES NO BRASIL E NO ATLÂNTICO SUL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i/>
          <w:iCs/>
          <w:sz w:val="22"/>
          <w:szCs w:val="22"/>
        </w:rPr>
        <w:t>Documento de Apoio ao Grupo — Curadoria de Fontes, Estruturação dos Tópicos e Roteiro de Redação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sz w:val="22"/>
          <w:szCs w:val="22"/>
        </w:rPr>
        <w:t>Disciplina: Tendências da Computação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sz w:val="22"/>
          <w:szCs w:val="22"/>
        </w:rPr>
        <w:t>Professor orientador: Prof. Dr. Renato Gonçalves Rocha</w:t>
      </w:r>
    </w:p>
    <w:p>
      <w:pPr>
        <w:pStyle w:val="Normal"/>
        <w:spacing w:before="0" w:after="1200"/>
        <w:jc w:val="center"/>
        <w:rPr/>
      </w:pPr>
      <w:r>
        <w:rPr>
          <w:rFonts w:eastAsia="Arial" w:cs="Arial"/>
          <w:i/>
          <w:iCs/>
          <w:sz w:val="20"/>
          <w:szCs w:val="20"/>
        </w:rPr>
        <w:t>Escopo: pesquisa bibliográfica e produção de artigo científico — sem desenvolvimento de sistema</w:t>
      </w:r>
      <w:r>
        <w:br w:type="page"/>
      </w:r>
    </w:p>
    <w:p>
      <w:pPr>
        <w:pStyle w:val="Normal"/>
        <w:jc w:val="center"/>
        <w:rPr/>
      </w:pPr>
      <w:r>
        <w:rPr>
          <w:rFonts w:eastAsia="Arial" w:cs="Arial"/>
          <w:sz w:val="22"/>
          <w:szCs w:val="22"/>
        </w:rPr>
        <w:t>2026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Apresentação</w:t>
      </w:r>
    </w:p>
    <w:p>
      <w:pPr>
        <w:pStyle w:val="Normal"/>
        <w:spacing w:lineRule="exact" w:line="276" w:before="0" w:after="14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Este documento reúne, para uso interno do grupo, a divisão do artigo em três tópicos principais (uma dupla por tópico), a curadoria de fontes científicas aprovadas para cada tópico e o roteiro metodológico para a redação final. O escopo foi ajustado para pesquisa bibliográfica e produção do artigo científico, sem desenvolvimento de sistema ou software, dado o tempo disponível do grupo.</w:t>
      </w:r>
    </w:p>
    <w:p>
      <w:pPr>
        <w:pStyle w:val="Normal"/>
        <w:spacing w:lineRule="exact" w:line="276" w:before="0" w:after="14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Todas as fontes abaixo foram verificadas quanto à existência, autoria e periódico de publicação antes de serem classificadas como aprovadas. Fontes que não puderam ser plenamente identificadas (por bloqueio de acesso automatizado ou por serem apenas a página inicial de um periódico) estão marcadas como incompletas, e o grupo deve confirmá-las manualmente antes de citá-las no artigo.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1. Estruturação dos Tópicos (3 duplas)</w:t>
      </w:r>
    </w:p>
    <w:p>
      <w:pPr>
        <w:pStyle w:val="Normal"/>
        <w:spacing w:lineRule="exact" w:line="276" w:before="0" w:after="14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Escopo ajustado: apenas pesquisa bibliográfica e redação do artigo. Não há desenvolvimento de sistema, aplicação ou código. A exigência de "IA/modelagem" é atendida por meio da análise e comparação quantitativa de projeções e dados já publicados pelas fontes aprovadas em tabelas e gráficos comparativos construídos pelo próprio grupo.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Tópico 1 — Quantificação do degelo das calotas polares</w:t>
      </w:r>
    </w:p>
    <w:p>
      <w:pPr>
        <w:pStyle w:val="Normal"/>
        <w:spacing w:lineRule="exact" w:line="276" w:before="0" w:after="14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 que a dupla desenvolve: um capítulo que explica os métodos de modelagem climática (CMIP6/ISMIP6 e a emulação estatística de Edwards et al.) e organiza, em tabela comparativa própria, as faixas de contribuição de Groenlândia e Antártida para a elevação do nível do mar por cenário (SSP1-1.9 a SSP5-8.5), extraídas do IPCC AR6, do IMBIE e da síntese CMIP6/ISMIP6 já produzida pelo grupo.</w:t>
      </w:r>
    </w:p>
    <w:p>
      <w:pPr>
        <w:pStyle w:val="Normal"/>
        <w:spacing w:lineRule="exact" w:line="276" w:before="0" w:after="140"/>
        <w:jc w:val="both"/>
        <w:rPr/>
      </w:pPr>
      <w:r>
        <w:rPr>
          <w:rFonts w:eastAsia="Arial" w:cs="Arial"/>
          <w:b w:val="false"/>
          <w:bCs w:val="false"/>
          <w:i/>
          <w:iCs/>
          <w:sz w:val="22"/>
          <w:szCs w:val="22"/>
        </w:rPr>
        <w:t>Argumento central: o CMIP6 projeta maior aquecimento futuro que o CMIP5, mas isso não se traduz igualmente nas duas calotas a contribuição da Groenlândia pode dobrar, enquanto a da Antártida muda pouco, porque o ganho de massa por neve e a perda por derretimento atuam em sentidos opostos.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Tópico 2 — AMOC, salinidade e teleconexões com o Brasil</w:t>
      </w:r>
    </w:p>
    <w:p>
      <w:pPr>
        <w:pStyle w:val="Normal"/>
        <w:spacing w:lineRule="exact" w:line="276" w:before="0" w:after="14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 que a dupla desenvolve: a cadeia causal degelo → dessalinização → enfraquecimento da AMOC → deslocamento da Zona de Convergência Intertropical → mudança nos padrões de chuva sobre a América do Sul, destacando o vínculo entre AMOC e vulnerabilidade da Amazônia mostrado por Akabane et al. (USP). A dupla produz um quadro-síntese comparando as conclusões dos artigos (Caesar, Boers, An et al., Sinet et al.) e discute pontos de divergência entre eles.</w:t>
      </w:r>
    </w:p>
    <w:p>
      <w:pPr>
        <w:pStyle w:val="Normal"/>
        <w:spacing w:lineRule="exact" w:line="276" w:before="0" w:after="140"/>
        <w:jc w:val="both"/>
        <w:rPr/>
      </w:pPr>
      <w:r>
        <w:rPr>
          <w:rFonts w:eastAsia="Arial" w:cs="Arial"/>
          <w:b w:val="false"/>
          <w:bCs w:val="false"/>
          <w:i/>
          <w:iCs/>
          <w:sz w:val="22"/>
          <w:szCs w:val="22"/>
        </w:rPr>
        <w:t>Ponto de atenção: Sinet et al. (2025) mostram que o efeito do degelo antártico sobre a AMOC não é unidirecional pode aumentar ou diminuir sua resiliência, dependendo da trajetória de degelo. Isso deve aparecer no artigo como nuance, não como conclusão simplificada.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Tópico 3 — Impacto costeiro no Brasil</w:t>
      </w:r>
    </w:p>
    <w:p>
      <w:pPr>
        <w:pStyle w:val="Normal"/>
        <w:spacing w:lineRule="exact" w:line="276" w:before="0" w:after="14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O que a dupla desenvolve: tradução (downscaling qualitativo/quantitativo simples) das projeções globais do IPCC AR6 para pontos do litoral brasileiro, usando os números já publicados por PBMC, Toste et al. (Baía de Guanabara) e o artigo da Revista Brasileira de Meteorologia sobre Santos. Pode incluir tabela ou gráfico comparando cenários de elevação (cm até 2100) por cidade brasileira, compilando o que já foi calculado por essas fontes sem necessidade de rodar modelo próprio.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Integração entre os tópicos</w:t>
      </w:r>
    </w:p>
    <w:p>
      <w:pPr>
        <w:pStyle w:val="Normal"/>
        <w:spacing w:lineRule="exact" w:line="276" w:before="0" w:after="14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Tópico 1 fornece os números de elevação por cenário. Tópico 2 explica o mecanismo climático que amplifica ou modula esse efeito no Atlântico Sul. Tópico 3 traduz tudo isso em consequência concreta para o litoral brasileiro. Essa sequência lógica organiza a Introdução e a Discussão do artigo e substitui a necessidade de um sistema integrado.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2. Curadoria de Fontes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2.1 Fontes aprovadas por tópico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Tópico 1 — Quantificação do degelo das calotas polares</w:t>
      </w:r>
    </w:p>
    <w:p>
      <w:pPr>
        <w:pStyle w:val="Normal"/>
        <w:spacing w:lineRule="exact" w:line="276" w:before="0" w:after="70"/>
        <w:rPr/>
      </w:pPr>
      <w:r>
        <w:rPr>
          <w:rFonts w:eastAsia="Arial" w:cs="Arial"/>
          <w:sz w:val="22"/>
          <w:szCs w:val="22"/>
        </w:rPr>
        <w:t xml:space="preserve">Payne et al. (2020) — base da síntese CMIP6/ISMIP6 já produzida pelo grupo — </w:t>
      </w:r>
      <w:hyperlink r:id="rId2">
        <w:r>
          <w:rPr>
            <w:rStyle w:val="ListLabel10"/>
            <w:rFonts w:eastAsia="Arial" w:cs="Arial"/>
            <w:color w:val="0563C1"/>
            <w:sz w:val="22"/>
            <w:szCs w:val="22"/>
            <w:u w:val="single"/>
          </w:rPr>
          <w:t>https://agupubs.onlinelibrary.wiley.com/doi/10.1029/2020GL091741</w:t>
        </w:r>
      </w:hyperlink>
    </w:p>
    <w:p>
      <w:pPr>
        <w:pStyle w:val="Normal"/>
        <w:spacing w:lineRule="exact" w:line="276" w:before="0" w:after="70"/>
        <w:rPr/>
      </w:pPr>
      <w:r>
        <w:rPr>
          <w:rFonts w:eastAsia="Arial" w:cs="Arial"/>
          <w:sz w:val="22"/>
          <w:szCs w:val="22"/>
        </w:rPr>
        <w:t xml:space="preserve">Edwards et al. (2021), Nature — projeções de nível do mar por emulação estatística — </w:t>
      </w:r>
      <w:hyperlink r:id="rId3">
        <w:r>
          <w:rPr>
            <w:rStyle w:val="ListLabel10"/>
            <w:rFonts w:eastAsia="Arial" w:cs="Arial"/>
            <w:color w:val="0563C1"/>
            <w:sz w:val="22"/>
            <w:szCs w:val="22"/>
            <w:u w:val="single"/>
          </w:rPr>
          <w:t>https://www.nature.com/articles/s41586-021-03302-y</w:t>
        </w:r>
      </w:hyperlink>
      <w:r>
        <w:rPr>
          <w:rFonts w:eastAsia="Arial" w:cs="Arial"/>
          <w:i/>
          <w:iCs/>
          <w:color w:val="555555"/>
          <w:sz w:val="20"/>
          <w:szCs w:val="20"/>
        </w:rPr>
        <w:t xml:space="preserve">  (referência metodológica central de IA/modelagem do Tópico 1)</w:t>
      </w:r>
    </w:p>
    <w:p>
      <w:pPr>
        <w:pStyle w:val="Normal"/>
        <w:spacing w:lineRule="exact" w:line="276" w:before="0" w:after="70"/>
        <w:rPr/>
      </w:pPr>
      <w:r>
        <w:rPr>
          <w:rFonts w:eastAsia="Arial" w:cs="Arial"/>
          <w:sz w:val="22"/>
          <w:szCs w:val="22"/>
        </w:rPr>
        <w:t xml:space="preserve">Otosaka et al. (2023), Earth System Science Data — IMBIE, taxas observadas de perda de massa — </w:t>
      </w:r>
      <w:hyperlink r:id="rId4">
        <w:r>
          <w:rPr>
            <w:rStyle w:val="ListLabel10"/>
            <w:rFonts w:eastAsia="Arial" w:cs="Arial"/>
            <w:color w:val="0563C1"/>
            <w:sz w:val="22"/>
            <w:szCs w:val="22"/>
            <w:u w:val="single"/>
          </w:rPr>
          <w:t>https://essd.copernicus.org/articles/15/1597/2023/</w:t>
        </w:r>
      </w:hyperlink>
    </w:p>
    <w:p>
      <w:pPr>
        <w:pStyle w:val="Normal"/>
        <w:spacing w:lineRule="exact" w:line="276" w:before="0" w:after="70"/>
        <w:rPr/>
      </w:pPr>
      <w:r>
        <w:rPr>
          <w:rFonts w:eastAsia="Arial" w:cs="Arial"/>
          <w:sz w:val="22"/>
          <w:szCs w:val="22"/>
        </w:rPr>
        <w:t xml:space="preserve">Pattyn et al. (2018), Nature Climate Change — resposta das calotas sob 1,5 °C — </w:t>
      </w:r>
      <w:hyperlink r:id="rId5">
        <w:r>
          <w:rPr>
            <w:rStyle w:val="ListLabel10"/>
            <w:rFonts w:eastAsia="Arial" w:cs="Arial"/>
            <w:color w:val="0563C1"/>
            <w:sz w:val="22"/>
            <w:szCs w:val="22"/>
            <w:u w:val="single"/>
          </w:rPr>
          <w:t>https://www.nature.com/articles/s41558-018-0305-8</w:t>
        </w:r>
      </w:hyperlink>
    </w:p>
    <w:p>
      <w:pPr>
        <w:pStyle w:val="Normal"/>
        <w:spacing w:lineRule="exact" w:line="276" w:before="0" w:after="70"/>
        <w:rPr/>
      </w:pPr>
      <w:r>
        <w:rPr>
          <w:rFonts w:eastAsia="Arial" w:cs="Arial"/>
          <w:sz w:val="22"/>
          <w:szCs w:val="22"/>
        </w:rPr>
        <w:t xml:space="preserve">IPCC AR6 WG1, Capítulo 9 — projeções oficiais por cenário SSP (ler seção 9.6 e Tabela 9.9) — </w:t>
      </w:r>
      <w:hyperlink r:id="rId6">
        <w:r>
          <w:rPr>
            <w:rStyle w:val="ListLabel10"/>
            <w:rFonts w:eastAsia="Arial" w:cs="Arial"/>
            <w:color w:val="0563C1"/>
            <w:sz w:val="22"/>
            <w:szCs w:val="22"/>
            <w:u w:val="single"/>
          </w:rPr>
          <w:t>https://www.ipcc.ch/report/ar6/wg1/chapter/chapter-9/</w:t>
        </w:r>
      </w:hyperlink>
    </w:p>
    <w:p>
      <w:pPr>
        <w:pStyle w:val="Normal"/>
        <w:spacing w:lineRule="exact" w:line="276" w:before="0" w:after="70"/>
        <w:rPr/>
      </w:pPr>
      <w:r>
        <w:rPr>
          <w:rFonts w:eastAsia="Arial" w:cs="Arial"/>
          <w:sz w:val="22"/>
          <w:szCs w:val="22"/>
        </w:rPr>
        <w:t xml:space="preserve">Tavares et al. (2025), Revista Brasileira de Climatologia — PROANTAR/INCT da Criosfera — </w:t>
      </w:r>
      <w:hyperlink r:id="rId7">
        <w:r>
          <w:rPr>
            <w:rStyle w:val="ListLabel10"/>
            <w:rFonts w:eastAsia="Arial" w:cs="Arial"/>
            <w:color w:val="0563C1"/>
            <w:sz w:val="22"/>
            <w:szCs w:val="22"/>
            <w:u w:val="single"/>
          </w:rPr>
          <w:t>https://doi.org/10.55761/abclima.v36i21.18720</w:t>
        </w:r>
      </w:hyperlink>
      <w:r>
        <w:rPr>
          <w:rFonts w:eastAsia="Arial" w:cs="Arial"/>
          <w:i/>
          <w:iCs/>
          <w:color w:val="555555"/>
          <w:sz w:val="20"/>
          <w:szCs w:val="20"/>
        </w:rPr>
        <w:t xml:space="preserve">  (autoria brasileira)</w:t>
      </w:r>
    </w:p>
    <w:p>
      <w:pPr>
        <w:pStyle w:val="Normal"/>
        <w:spacing w:lineRule="exact" w:line="276" w:before="0" w:after="70"/>
        <w:rPr/>
      </w:pPr>
      <w:r>
        <w:rPr>
          <w:rFonts w:eastAsia="Arial" w:cs="Arial"/>
          <w:sz w:val="22"/>
          <w:szCs w:val="22"/>
        </w:rPr>
        <w:t xml:space="preserve">Global Tipping Points Report — capítulo "Ice sheets" — </w:t>
      </w:r>
      <w:hyperlink r:id="rId8">
        <w:r>
          <w:rPr>
            <w:rStyle w:val="ListLabel10"/>
            <w:rFonts w:eastAsia="Arial" w:cs="Arial"/>
            <w:color w:val="0563C1"/>
            <w:sz w:val="22"/>
            <w:szCs w:val="22"/>
            <w:u w:val="single"/>
          </w:rPr>
          <w:t>https://global-tipping-points.org/</w:t>
        </w:r>
      </w:hyperlink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Tópico 2 — AMOC, salinidade e teleconexões com o Brasil</w:t>
      </w:r>
    </w:p>
    <w:p>
      <w:pPr>
        <w:pStyle w:val="Normal"/>
        <w:spacing w:lineRule="exact" w:line="276" w:before="0" w:after="70"/>
        <w:rPr/>
      </w:pPr>
      <w:r>
        <w:rPr>
          <w:rFonts w:eastAsia="Arial" w:cs="Arial"/>
          <w:sz w:val="22"/>
          <w:szCs w:val="22"/>
        </w:rPr>
        <w:t xml:space="preserve">An et al. (2024), Communications Earth &amp; Environment — mecanismo degelo → salinidade → ZCIT → AMOC — </w:t>
      </w:r>
      <w:hyperlink r:id="rId9">
        <w:r>
          <w:rPr>
            <w:rStyle w:val="ListLabel10"/>
            <w:rFonts w:eastAsia="Arial" w:cs="Arial"/>
            <w:color w:val="0563C1"/>
            <w:sz w:val="22"/>
            <w:szCs w:val="22"/>
            <w:u w:val="single"/>
          </w:rPr>
          <w:t>https://www.nature.com/articles/s43247-024-01670-7</w:t>
        </w:r>
      </w:hyperlink>
    </w:p>
    <w:p>
      <w:pPr>
        <w:pStyle w:val="Normal"/>
        <w:spacing w:lineRule="exact" w:line="276" w:before="0" w:after="70"/>
        <w:rPr/>
      </w:pPr>
      <w:r>
        <w:rPr>
          <w:rFonts w:eastAsia="Arial" w:cs="Arial"/>
          <w:sz w:val="22"/>
          <w:szCs w:val="22"/>
        </w:rPr>
        <w:t xml:space="preserve">Caesar et al. (2018), Nature — evidência observacional do enfraquecimento da AMOC — </w:t>
      </w:r>
      <w:hyperlink r:id="rId10">
        <w:r>
          <w:rPr>
            <w:rStyle w:val="ListLabel10"/>
            <w:rFonts w:eastAsia="Arial" w:cs="Arial"/>
            <w:color w:val="0563C1"/>
            <w:sz w:val="22"/>
            <w:szCs w:val="22"/>
            <w:u w:val="single"/>
          </w:rPr>
          <w:t>https://www.nature.com/articles/s41586-018-0006-5</w:t>
        </w:r>
      </w:hyperlink>
    </w:p>
    <w:p>
      <w:pPr>
        <w:pStyle w:val="Normal"/>
        <w:spacing w:lineRule="exact" w:line="276" w:before="0" w:after="70"/>
        <w:rPr/>
      </w:pPr>
      <w:r>
        <w:rPr>
          <w:rFonts w:eastAsia="Arial" w:cs="Arial"/>
          <w:sz w:val="22"/>
          <w:szCs w:val="22"/>
        </w:rPr>
        <w:t xml:space="preserve">Caesar et al. (2021), Nature Geoscience — reconstrução milenar da AMOC — </w:t>
      </w:r>
      <w:hyperlink r:id="rId11">
        <w:r>
          <w:rPr>
            <w:rStyle w:val="ListLabel10"/>
            <w:rFonts w:eastAsia="Arial" w:cs="Arial"/>
            <w:color w:val="0563C1"/>
            <w:sz w:val="22"/>
            <w:szCs w:val="22"/>
            <w:u w:val="single"/>
          </w:rPr>
          <w:t>https://www.nature.com/articles/s41561-021-00699-z</w:t>
        </w:r>
      </w:hyperlink>
    </w:p>
    <w:p>
      <w:pPr>
        <w:pStyle w:val="Normal"/>
        <w:spacing w:lineRule="exact" w:line="276" w:before="0" w:after="70"/>
        <w:rPr/>
      </w:pPr>
      <w:r>
        <w:rPr>
          <w:rFonts w:eastAsia="Arial" w:cs="Arial"/>
          <w:sz w:val="22"/>
          <w:szCs w:val="22"/>
        </w:rPr>
        <w:t xml:space="preserve">Boers (2021), Nature Climate Change — sinais estatísticos de alerta precoce — </w:t>
      </w:r>
      <w:hyperlink r:id="rId12">
        <w:r>
          <w:rPr>
            <w:rStyle w:val="ListLabel10"/>
            <w:rFonts w:eastAsia="Arial" w:cs="Arial"/>
            <w:color w:val="0563C1"/>
            <w:sz w:val="22"/>
            <w:szCs w:val="22"/>
            <w:u w:val="single"/>
          </w:rPr>
          <w:t>https://www.nature.com/articles/s41558-021-01097-4</w:t>
        </w:r>
      </w:hyperlink>
    </w:p>
    <w:p>
      <w:pPr>
        <w:pStyle w:val="Normal"/>
        <w:spacing w:lineRule="exact" w:line="276" w:before="0" w:after="70"/>
        <w:rPr/>
      </w:pPr>
      <w:r>
        <w:rPr>
          <w:rFonts w:eastAsia="Arial" w:cs="Arial"/>
          <w:sz w:val="22"/>
          <w:szCs w:val="22"/>
        </w:rPr>
        <w:t xml:space="preserve">Van den Berk, Drijfhout &amp; Hazeleger (2019), Climate Dynamics — orçamento de salinidade Groenlândia x Antártida — </w:t>
      </w:r>
      <w:hyperlink r:id="rId13">
        <w:r>
          <w:rPr>
            <w:rStyle w:val="ListLabel10"/>
            <w:rFonts w:eastAsia="Arial" w:cs="Arial"/>
            <w:color w:val="0563C1"/>
            <w:sz w:val="22"/>
            <w:szCs w:val="22"/>
            <w:u w:val="single"/>
          </w:rPr>
          <w:t>https://link.springer.com/article/10.1007/s00382-018-4444-4</w:t>
        </w:r>
      </w:hyperlink>
    </w:p>
    <w:p>
      <w:pPr>
        <w:pStyle w:val="Normal"/>
        <w:spacing w:lineRule="exact" w:line="276" w:before="0" w:after="70"/>
        <w:rPr/>
      </w:pPr>
      <w:r>
        <w:rPr>
          <w:rFonts w:eastAsia="Arial" w:cs="Arial"/>
          <w:sz w:val="22"/>
          <w:szCs w:val="22"/>
        </w:rPr>
        <w:t xml:space="preserve">Marson, Wainer, Mata &amp; Liu (2014), Climate of the Past — circulação profunda do Atlântico Sul — </w:t>
      </w:r>
      <w:hyperlink r:id="rId14">
        <w:r>
          <w:rPr>
            <w:rStyle w:val="ListLabel10"/>
            <w:rFonts w:eastAsia="Arial" w:cs="Arial"/>
            <w:color w:val="0563C1"/>
            <w:sz w:val="22"/>
            <w:szCs w:val="22"/>
            <w:u w:val="single"/>
          </w:rPr>
          <w:t>https://cp.copernicus.org/articles/10/2061/2014/</w:t>
        </w:r>
      </w:hyperlink>
      <w:r>
        <w:rPr>
          <w:rFonts w:eastAsia="Arial" w:cs="Arial"/>
          <w:i/>
          <w:iCs/>
          <w:color w:val="555555"/>
          <w:sz w:val="20"/>
          <w:szCs w:val="20"/>
        </w:rPr>
        <w:t xml:space="preserve">  (autoria brasileira: USP/FURG)</w:t>
      </w:r>
    </w:p>
    <w:p>
      <w:pPr>
        <w:pStyle w:val="Normal"/>
        <w:spacing w:lineRule="exact" w:line="276" w:before="0" w:after="70"/>
        <w:rPr/>
      </w:pPr>
      <w:r>
        <w:rPr>
          <w:rFonts w:eastAsia="Arial" w:cs="Arial"/>
          <w:sz w:val="22"/>
          <w:szCs w:val="22"/>
        </w:rPr>
        <w:t xml:space="preserve">Sinet, von der Heydt &amp; Dijkstra (2025), Science Advances — </w:t>
      </w:r>
      <w:hyperlink r:id="rId15">
        <w:r>
          <w:rPr>
            <w:rStyle w:val="ListLabel10"/>
            <w:rFonts w:eastAsia="Arial" w:cs="Arial"/>
            <w:color w:val="0563C1"/>
            <w:sz w:val="22"/>
            <w:szCs w:val="22"/>
            <w:u w:val="single"/>
          </w:rPr>
          <w:t>https://doi.org/10.1126/sciadv.adw3852</w:t>
        </w:r>
      </w:hyperlink>
      <w:r>
        <w:rPr>
          <w:rFonts w:eastAsia="Arial" w:cs="Arial"/>
          <w:i/>
          <w:iCs/>
          <w:color w:val="555555"/>
          <w:sz w:val="20"/>
          <w:szCs w:val="20"/>
        </w:rPr>
        <w:t xml:space="preserve">  (atenção: o degelo antártico pode aumentar OU diminuir a resiliência da AMOC — não apenas estabilizá-la)</w:t>
      </w:r>
    </w:p>
    <w:p>
      <w:pPr>
        <w:pStyle w:val="Normal"/>
        <w:spacing w:lineRule="exact" w:line="276" w:before="0" w:after="70"/>
        <w:rPr/>
      </w:pPr>
      <w:r>
        <w:rPr>
          <w:rFonts w:eastAsia="Arial" w:cs="Arial"/>
          <w:sz w:val="22"/>
          <w:szCs w:val="22"/>
        </w:rPr>
        <w:t xml:space="preserve">Swingedouw, Fichefet, Goosse &amp; Loutre (2009), Climate Dynamics — </w:t>
      </w:r>
      <w:hyperlink r:id="rId16">
        <w:r>
          <w:rPr>
            <w:rStyle w:val="ListLabel10"/>
            <w:rFonts w:eastAsia="Arial" w:cs="Arial"/>
            <w:color w:val="0563C1"/>
            <w:sz w:val="22"/>
            <w:szCs w:val="22"/>
            <w:u w:val="single"/>
          </w:rPr>
          <w:t>https://doi.org/10.1007/s00382-008-0496-1</w:t>
        </w:r>
      </w:hyperlink>
    </w:p>
    <w:p>
      <w:pPr>
        <w:pStyle w:val="Normal"/>
        <w:spacing w:lineRule="exact" w:line="276" w:before="0" w:after="70"/>
        <w:rPr/>
      </w:pPr>
      <w:r>
        <w:rPr>
          <w:rFonts w:eastAsia="Arial" w:cs="Arial"/>
          <w:sz w:val="22"/>
          <w:szCs w:val="22"/>
        </w:rPr>
        <w:t xml:space="preserve">Akabane et al. (2024), Nature Geoscience — </w:t>
      </w:r>
      <w:hyperlink r:id="rId17">
        <w:r>
          <w:rPr>
            <w:rStyle w:val="ListLabel10"/>
            <w:rFonts w:eastAsia="Arial" w:cs="Arial"/>
            <w:color w:val="0563C1"/>
            <w:sz w:val="22"/>
            <w:szCs w:val="22"/>
            <w:u w:val="single"/>
          </w:rPr>
          <w:t>https://doi.org/10.1038/s41561-024-01578-z</w:t>
        </w:r>
      </w:hyperlink>
      <w:r>
        <w:rPr>
          <w:rFonts w:eastAsia="Arial" w:cs="Arial"/>
          <w:i/>
          <w:iCs/>
          <w:color w:val="555555"/>
          <w:sz w:val="20"/>
          <w:szCs w:val="20"/>
        </w:rPr>
        <w:t xml:space="preserve">  (autoria USP; liga AMOC ao norte da Amazônia)</w:t>
      </w:r>
    </w:p>
    <w:p>
      <w:pPr>
        <w:pStyle w:val="Normal"/>
        <w:spacing w:lineRule="exact" w:line="276" w:before="0" w:after="70"/>
        <w:rPr/>
      </w:pPr>
      <w:r>
        <w:rPr>
          <w:rFonts w:eastAsia="Arial" w:cs="Arial"/>
          <w:sz w:val="22"/>
          <w:szCs w:val="22"/>
        </w:rPr>
        <w:t xml:space="preserve">Gerber et al. (2025), Nature Communications — </w:t>
      </w:r>
      <w:hyperlink r:id="rId18">
        <w:r>
          <w:rPr>
            <w:rStyle w:val="ListLabel10"/>
            <w:rFonts w:eastAsia="Arial" w:cs="Arial"/>
            <w:color w:val="0563C1"/>
            <w:sz w:val="22"/>
            <w:szCs w:val="22"/>
            <w:u w:val="single"/>
          </w:rPr>
          <w:t>https://doi.org/10.1038/s41467-025-61793-z</w:t>
        </w:r>
      </w:hyperlink>
    </w:p>
    <w:p>
      <w:pPr>
        <w:pStyle w:val="Normal"/>
        <w:spacing w:lineRule="exact" w:line="276" w:before="0" w:after="70"/>
        <w:rPr/>
      </w:pPr>
      <w:r>
        <w:rPr>
          <w:rFonts w:eastAsia="Arial" w:cs="Arial"/>
          <w:sz w:val="22"/>
          <w:szCs w:val="22"/>
        </w:rPr>
        <w:t xml:space="preserve">NOAA Ocean Service — definição institucional da AMOC (uso apenas na Introdução) — </w:t>
      </w:r>
      <w:hyperlink r:id="rId19">
        <w:r>
          <w:rPr>
            <w:rStyle w:val="ListLabel10"/>
            <w:rFonts w:eastAsia="Arial" w:cs="Arial"/>
            <w:color w:val="0563C1"/>
            <w:sz w:val="22"/>
            <w:szCs w:val="22"/>
            <w:u w:val="single"/>
          </w:rPr>
          <w:t>https://oceanservice.noaa.gov/facts/amoc.html</w:t>
        </w:r>
      </w:hyperlink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2"/>
          <w:szCs w:val="22"/>
        </w:rPr>
        <w:t>Tópico 3 — Impacto costeiro no Brasil</w:t>
      </w:r>
    </w:p>
    <w:p>
      <w:pPr>
        <w:pStyle w:val="Normal"/>
        <w:spacing w:lineRule="exact" w:line="276" w:before="0" w:after="70"/>
        <w:rPr/>
      </w:pPr>
      <w:r>
        <w:rPr>
          <w:rFonts w:eastAsia="Arial" w:cs="Arial"/>
          <w:sz w:val="22"/>
          <w:szCs w:val="22"/>
        </w:rPr>
        <w:t xml:space="preserve">PBMC — Relatório Especial (2017), referência nacional oficial — </w:t>
      </w:r>
      <w:hyperlink r:id="rId20">
        <w:r>
          <w:rPr>
            <w:rStyle w:val="ListLabel10"/>
            <w:rFonts w:eastAsia="Arial" w:cs="Arial"/>
            <w:color w:val="0563C1"/>
            <w:sz w:val="22"/>
            <w:szCs w:val="22"/>
            <w:u w:val="single"/>
          </w:rPr>
          <w:t>https://ppgoceano.paginas.ufsc.br/files/2017/06/Relatorio_DOIS_v1_04.06.17.pdf</w:t>
        </w:r>
      </w:hyperlink>
    </w:p>
    <w:p>
      <w:pPr>
        <w:pStyle w:val="Normal"/>
        <w:spacing w:lineRule="exact" w:line="276" w:before="0" w:after="70"/>
        <w:rPr/>
      </w:pPr>
      <w:r>
        <w:rPr>
          <w:rFonts w:eastAsia="Arial" w:cs="Arial"/>
          <w:sz w:val="22"/>
          <w:szCs w:val="22"/>
        </w:rPr>
        <w:t xml:space="preserve">Toste et al. (2024), Natural Hazards — downscaling ROMS na Baía de Guanabara — </w:t>
      </w:r>
      <w:hyperlink r:id="rId21">
        <w:r>
          <w:rPr>
            <w:rStyle w:val="ListLabel10"/>
            <w:rFonts w:eastAsia="Arial" w:cs="Arial"/>
            <w:color w:val="0563C1"/>
            <w:sz w:val="22"/>
            <w:szCs w:val="22"/>
            <w:u w:val="single"/>
          </w:rPr>
          <w:t>https://doi.org/10.1007/s11069-024-06556-7</w:t>
        </w:r>
      </w:hyperlink>
      <w:r>
        <w:rPr>
          <w:rFonts w:eastAsia="Arial" w:cs="Arial"/>
          <w:i/>
          <w:iCs/>
          <w:color w:val="555555"/>
          <w:sz w:val="20"/>
          <w:szCs w:val="20"/>
        </w:rPr>
        <w:t xml:space="preserve">  (autoria UFRJ/LAMCE-COPPE)</w:t>
      </w:r>
    </w:p>
    <w:p>
      <w:pPr>
        <w:pStyle w:val="Normal"/>
        <w:spacing w:lineRule="exact" w:line="276" w:before="0" w:after="70"/>
        <w:rPr/>
      </w:pPr>
      <w:r>
        <w:rPr>
          <w:rFonts w:eastAsia="Arial" w:cs="Arial"/>
          <w:sz w:val="22"/>
          <w:szCs w:val="22"/>
        </w:rPr>
        <w:t xml:space="preserve">Revista Brasileira de Meteorologia — extremos de nível do mar em Santos e reanálise NCEP — </w:t>
      </w:r>
      <w:hyperlink r:id="rId22">
        <w:r>
          <w:rPr>
            <w:rStyle w:val="ListLabel10"/>
            <w:rFonts w:eastAsia="Arial" w:cs="Arial"/>
            <w:color w:val="0563C1"/>
            <w:sz w:val="22"/>
            <w:szCs w:val="22"/>
            <w:u w:val="single"/>
          </w:rPr>
          <w:t>https://www.scielo.br/j/rbmet/a/xLpyd76Gdrn4S4zpcpJ7B3z/</w:t>
        </w:r>
      </w:hyperlink>
    </w:p>
    <w:p>
      <w:pPr>
        <w:pStyle w:val="Normal"/>
        <w:spacing w:lineRule="exact" w:line="276" w:before="0" w:after="70"/>
        <w:rPr/>
      </w:pPr>
      <w:r>
        <w:rPr>
          <w:rFonts w:eastAsia="Arial" w:cs="Arial"/>
          <w:sz w:val="22"/>
          <w:szCs w:val="22"/>
        </w:rPr>
        <w:t xml:space="preserve">"A High-End Estimate of Sea Level Rise for Practitioners" (PMC) — </w:t>
      </w:r>
      <w:hyperlink r:id="rId23">
        <w:r>
          <w:rPr>
            <w:rStyle w:val="ListLabel10"/>
            <w:rFonts w:eastAsia="Arial" w:cs="Arial"/>
            <w:color w:val="0563C1"/>
            <w:sz w:val="22"/>
            <w:szCs w:val="22"/>
            <w:u w:val="single"/>
          </w:rPr>
          <w:t>https://pmc.ncbi.nlm.nih.gov/articles/PMC9787942/</w:t>
        </w:r>
      </w:hyperlink>
    </w:p>
    <w:p>
      <w:pPr>
        <w:pStyle w:val="Normal"/>
        <w:spacing w:lineRule="exact" w:line="276" w:before="0" w:after="70"/>
        <w:rPr/>
      </w:pPr>
      <w:r>
        <w:rPr>
          <w:rFonts w:eastAsia="Arial" w:cs="Arial"/>
          <w:sz w:val="22"/>
          <w:szCs w:val="22"/>
        </w:rPr>
        <w:t xml:space="preserve">IPCC AR6 WG1, Capítulo 9 — reaproveitar números por cenário do Tópico 1 — </w:t>
      </w:r>
      <w:hyperlink r:id="rId24">
        <w:r>
          <w:rPr>
            <w:rStyle w:val="ListLabel10"/>
            <w:rFonts w:eastAsia="Arial" w:cs="Arial"/>
            <w:color w:val="0563C1"/>
            <w:sz w:val="22"/>
            <w:szCs w:val="22"/>
            <w:u w:val="single"/>
          </w:rPr>
          <w:t>https://www.ipcc.ch/report/ar6/wg1/chapter/chapter-9/</w:t>
        </w:r>
      </w:hyperlink>
    </w:p>
    <w:p>
      <w:pPr>
        <w:pStyle w:val="Normal"/>
        <w:spacing w:lineRule="exact" w:line="276" w:before="0" w:after="140"/>
        <w:jc w:val="both"/>
        <w:rPr/>
      </w:pPr>
      <w:r>
        <w:rPr>
          <w:rFonts w:eastAsia="Arial" w:cs="Arial"/>
          <w:b w:val="false"/>
          <w:bCs w:val="false"/>
          <w:i w:val="false"/>
          <w:iCs w:val="false"/>
          <w:sz w:val="22"/>
          <w:szCs w:val="22"/>
        </w:rPr>
        <w:t>Ainda para o Tópico 3, buscar manualmente antes de citar: Roffman, Gomez &amp; Yousefi (2023), Geophysical Journal International (academic.oup.com/gji); Slangen et al. (2023), Cambridge Prisms: Coastal Futures; Silva, Noernberg &amp; Lopes (2024), Ocean and Coastal Research (scielo.br/j/ocr) confirmar título e DOI de cada um no site do periódico ou no Google Scholar.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1F3864"/>
          <w:sz w:val="24"/>
          <w:szCs w:val="24"/>
        </w:rPr>
        <w:t>2.2 Fontes rejeitadas ou incompletas</w:t>
      </w:r>
    </w:p>
    <w:tbl>
      <w:tblPr>
        <w:tblW w:w="93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200"/>
        <w:gridCol w:w="6099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Link / fonte</w:t>
            </w:r>
          </w:p>
        </w:tc>
        <w:tc>
          <w:tcPr>
            <w:tcW w:w="6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Motivo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Coluna do Jornal da Unicamp (Luiz Marques)</w:t>
            </w:r>
          </w:p>
        </w:tc>
        <w:tc>
          <w:tcPr>
            <w:tcW w:w="6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Opinião/divulgação, não peer-reviewed. Usar só como pista para achar as fontes primárias que ela cita.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RealClimate — blog sobre AR6</w:t>
            </w:r>
          </w:p>
        </w:tc>
        <w:tc>
          <w:tcPr>
            <w:tcW w:w="6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Blog científico. Os números resumidos já estão no IPCC AR6 Cap. 9 — citar a fonte primária.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Yale e360 — matéria sobre degelo 6x mais rápido</w:t>
            </w:r>
          </w:p>
        </w:tc>
        <w:tc>
          <w:tcPr>
            <w:tcW w:w="6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Divulgação jornalística. O dado original é do IMBIE (Otosaka et al., 2023) — citar o original.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academic.oup.com/gji</w:t>
            </w:r>
          </w:p>
        </w:tc>
        <w:tc>
          <w:tcPr>
            <w:tcW w:w="6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É a home do periódico, não o artigo. Localizar Roffman et al. (2023) e recuperar o DOI.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scielo.br/j/ocr/</w:t>
            </w:r>
          </w:p>
        </w:tc>
        <w:tc>
          <w:tcPr>
            <w:tcW w:w="6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Home do periódico. Localizar Silva, Noernberg &amp; Lopes (2024).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cambridge.org/.../coastal-futures</w:t>
            </w:r>
          </w:p>
        </w:tc>
        <w:tc>
          <w:tcPr>
            <w:tcW w:w="6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Home do periódico. Localizar Slangen et al. (2023).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scielo.br/j/rbtur (Turismo)</w:t>
            </w:r>
          </w:p>
        </w:tc>
        <w:tc>
          <w:tcPr>
            <w:tcW w:w="6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Fora do escopo físico-computacional do artigo; só usar com discussão socioeconômica explícita e após identificar autoria.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scielo.br/j/geo (86rFvjV8Cbvy7nNSKTCjnvh)</w:t>
            </w:r>
          </w:p>
        </w:tc>
        <w:tc>
          <w:tcPr>
            <w:tcW w:w="6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Link de abstract sem título/autoria visível. Não citar sem identificação plena.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"Sadai et al. (2025)" / "Rosser et al. (2024)"</w:t>
            </w:r>
          </w:p>
        </w:tc>
        <w:tc>
          <w:tcPr>
            <w:tcW w:w="6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Sem DOI localizado. Pode haver confusão com Sadai, Condron, DeConto &amp; Pollard (2020), Science Advances (DOI 10.1126/sciadv.aaz1169) — confirmar antes de usar.</w:t>
            </w:r>
          </w:p>
        </w:tc>
      </w:tr>
    </w:tbl>
    <w:p>
      <w:pPr>
        <w:pStyle w:val="Normal"/>
        <w:spacing w:lineRule="exact" w:line="276" w:before="0" w:after="140"/>
        <w:jc w:val="both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3. Roteiro para o Artigo Ficar Impecável</w:t>
      </w:r>
    </w:p>
    <w:p>
      <w:pPr>
        <w:pStyle w:val="ListParagraph"/>
        <w:numPr>
          <w:ilvl w:val="0"/>
          <w:numId w:val="3"/>
        </w:numPr>
        <w:spacing w:lineRule="exact" w:line="276" w:before="0" w:after="90"/>
        <w:rPr/>
      </w:pPr>
      <w:r>
        <w:rPr>
          <w:rFonts w:eastAsia="Arial" w:cs="Arial"/>
          <w:b w:val="false"/>
          <w:bCs w:val="false"/>
          <w:sz w:val="22"/>
          <w:szCs w:val="22"/>
        </w:rPr>
        <w:t>Seguir à risca a estrutura do Modelo Institucional do professor: Resumo → Introdução → Fundamentação Teórica → Metodologia → Resultados e Discussão → Conclusão → Referências, 8 a 12 páginas, Arial 12, espaçamento 1,5, ABNT NBR 6023:2025.</w:t>
      </w:r>
    </w:p>
    <w:p>
      <w:pPr>
        <w:pStyle w:val="ListParagraph"/>
        <w:numPr>
          <w:ilvl w:val="0"/>
          <w:numId w:val="1"/>
        </w:numPr>
        <w:spacing w:lineRule="exact" w:line="276" w:before="0" w:after="90"/>
        <w:rPr/>
      </w:pPr>
      <w:r>
        <w:rPr>
          <w:rFonts w:eastAsia="Arial" w:cs="Arial"/>
          <w:b w:val="false"/>
          <w:bCs w:val="false"/>
          <w:sz w:val="22"/>
          <w:szCs w:val="22"/>
        </w:rPr>
        <w:t>Toda citação no corpo do texto precisa constar nas referências finais, e toda referência listada precisa ter sido efetivamente citada — o checklist do professor cobra isso de forma explícita nos dois sentidos.</w:t>
      </w:r>
    </w:p>
    <w:p>
      <w:pPr>
        <w:pStyle w:val="ListParagraph"/>
        <w:numPr>
          <w:ilvl w:val="0"/>
          <w:numId w:val="1"/>
        </w:numPr>
        <w:spacing w:lineRule="exact" w:line="276" w:before="0" w:after="90"/>
        <w:rPr/>
      </w:pPr>
      <w:r>
        <w:rPr>
          <w:rFonts w:eastAsia="Arial" w:cs="Arial"/>
          <w:b w:val="false"/>
          <w:bCs w:val="false"/>
          <w:sz w:val="22"/>
          <w:szCs w:val="22"/>
        </w:rPr>
        <w:t>Nenhum número solto no texto: cada dado (mm de elevação, ano, cenário SSP) deve vir acompanhado da fonte na mesma frase ou em nota.</w:t>
      </w:r>
    </w:p>
    <w:p>
      <w:pPr>
        <w:pStyle w:val="ListParagraph"/>
        <w:numPr>
          <w:ilvl w:val="0"/>
          <w:numId w:val="1"/>
        </w:numPr>
        <w:spacing w:lineRule="exact" w:line="276" w:before="0" w:after="90"/>
        <w:rPr/>
      </w:pPr>
      <w:r>
        <w:rPr>
          <w:rFonts w:eastAsia="Arial" w:cs="Arial"/>
          <w:b w:val="false"/>
          <w:bCs w:val="false"/>
          <w:sz w:val="22"/>
          <w:szCs w:val="22"/>
        </w:rPr>
        <w:t>Como não haverá desenvolvimento técnico, reforçar a qualidade da Discussão: comparar explicitamente onde os estudos concordam e onde divergem entre si (isso substitui a robustez que um sistema traria e demonstra maturidade científica).</w:t>
      </w:r>
    </w:p>
    <w:p>
      <w:pPr>
        <w:pStyle w:val="ListParagraph"/>
        <w:numPr>
          <w:ilvl w:val="0"/>
          <w:numId w:val="1"/>
        </w:numPr>
        <w:spacing w:lineRule="exact" w:line="276" w:before="0" w:after="90"/>
        <w:rPr/>
      </w:pPr>
      <w:r>
        <w:rPr>
          <w:rFonts w:eastAsia="Arial" w:cs="Arial"/>
          <w:b w:val="false"/>
          <w:bCs w:val="false"/>
          <w:sz w:val="22"/>
          <w:szCs w:val="22"/>
        </w:rPr>
        <w:t>Preencher a tabela de divisão de responsabilidades da seção 4 do Modelo Institucional (planejamento, revisão da literatura, coleta/organização de dados, análise, redação, revisão final) com os nomes de cada integrante, mesmo sem desenvolvimento de sistema.</w:t>
      </w:r>
    </w:p>
    <w:p>
      <w:pPr>
        <w:pStyle w:val="ListParagraph"/>
        <w:numPr>
          <w:ilvl w:val="0"/>
          <w:numId w:val="1"/>
        </w:numPr>
        <w:spacing w:lineRule="exact" w:line="276" w:before="0" w:after="90"/>
        <w:rPr/>
      </w:pPr>
      <w:r>
        <w:rPr>
          <w:rFonts w:eastAsia="Arial" w:cs="Arial"/>
          <w:b w:val="false"/>
          <w:bCs w:val="false"/>
          <w:sz w:val="22"/>
          <w:szCs w:val="22"/>
        </w:rPr>
        <w:t>Confirmar manualmente, antes da entrega, os três links de fontes ainda incompletas do Tópico 3 (Roffman et al., Slangen et al., Silva/Noernberg/Lopes) e os dois casos sem DOI localizado (Sadai/Rosser).</w:t>
      </w:r>
    </w:p>
    <w:p>
      <w:pPr>
        <w:pStyle w:val="Normal"/>
        <w:pBdr>
          <w:bottom w:val="single" w:sz="6" w:space="1" w:color="AAAAAA"/>
        </w:pBdr>
        <w:spacing w:before="120" w:after="120"/>
        <w:rPr/>
      </w:pPr>
      <w:r>
        <w:rPr/>
      </w:r>
    </w:p>
    <w:p>
      <w:pPr>
        <w:pStyle w:val="Normal"/>
        <w:spacing w:lineRule="exact" w:line="276" w:before="0" w:after="140"/>
        <w:jc w:val="both"/>
        <w:rPr/>
      </w:pPr>
      <w:r>
        <w:rPr>
          <w:rFonts w:eastAsia="Arial" w:cs="Arial"/>
          <w:b w:val="false"/>
          <w:bCs w:val="false"/>
          <w:i/>
          <w:iCs/>
          <w:sz w:val="22"/>
          <w:szCs w:val="22"/>
        </w:rPr>
        <w:t>Documento de apoio interno do grupo organizado a partir da curadoria de fontes e da estrutura de tópicos definidas na etapa de planejamento. Confirmar todos os DOIs/links diretamente nos sites das revistas antes da versão final do artigo.</w:t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gupubs.onlinelibrary.wiley.com/doi/10.1029/2020GL091741" TargetMode="External"/><Relationship Id="rId3" Type="http://schemas.openxmlformats.org/officeDocument/2006/relationships/hyperlink" Target="https://www.nature.com/articles/s41586-021-03302-y" TargetMode="External"/><Relationship Id="rId4" Type="http://schemas.openxmlformats.org/officeDocument/2006/relationships/hyperlink" Target="https://essd.copernicus.org/articles/15/1597/2023/" TargetMode="External"/><Relationship Id="rId5" Type="http://schemas.openxmlformats.org/officeDocument/2006/relationships/hyperlink" Target="https://www.nature.com/articles/s41558-018-0305-8" TargetMode="External"/><Relationship Id="rId6" Type="http://schemas.openxmlformats.org/officeDocument/2006/relationships/hyperlink" Target="https://www.ipcc.ch/report/ar6/wg1/chapter/chapter-9/" TargetMode="External"/><Relationship Id="rId7" Type="http://schemas.openxmlformats.org/officeDocument/2006/relationships/hyperlink" Target="https://doi.org/10.55761/abclima.v36i21.18720" TargetMode="External"/><Relationship Id="rId8" Type="http://schemas.openxmlformats.org/officeDocument/2006/relationships/hyperlink" Target="https://global-tipping-points.org/" TargetMode="External"/><Relationship Id="rId9" Type="http://schemas.openxmlformats.org/officeDocument/2006/relationships/hyperlink" Target="https://www.nature.com/articles/s43247-024-01670-7" TargetMode="External"/><Relationship Id="rId10" Type="http://schemas.openxmlformats.org/officeDocument/2006/relationships/hyperlink" Target="https://www.nature.com/articles/s41586-018-0006-5" TargetMode="External"/><Relationship Id="rId11" Type="http://schemas.openxmlformats.org/officeDocument/2006/relationships/hyperlink" Target="https://www.nature.com/articles/s41561-021-00699-z" TargetMode="External"/><Relationship Id="rId12" Type="http://schemas.openxmlformats.org/officeDocument/2006/relationships/hyperlink" Target="https://www.nature.com/articles/s41558-021-01097-4" TargetMode="External"/><Relationship Id="rId13" Type="http://schemas.openxmlformats.org/officeDocument/2006/relationships/hyperlink" Target="https://link.springer.com/article/10.1007/s00382-018-4444-4" TargetMode="External"/><Relationship Id="rId14" Type="http://schemas.openxmlformats.org/officeDocument/2006/relationships/hyperlink" Target="https://cp.copernicus.org/articles/10/2061/2014/" TargetMode="External"/><Relationship Id="rId15" Type="http://schemas.openxmlformats.org/officeDocument/2006/relationships/hyperlink" Target="https://doi.org/10.1126/sciadv.adw3852" TargetMode="External"/><Relationship Id="rId16" Type="http://schemas.openxmlformats.org/officeDocument/2006/relationships/hyperlink" Target="https://doi.org/10.1007/s00382-008-0496-1" TargetMode="External"/><Relationship Id="rId17" Type="http://schemas.openxmlformats.org/officeDocument/2006/relationships/hyperlink" Target="https://doi.org/10.1038/s41561-024-01578-z" TargetMode="External"/><Relationship Id="rId18" Type="http://schemas.openxmlformats.org/officeDocument/2006/relationships/hyperlink" Target="https://doi.org/10.1038/s41467-025-61793-z" TargetMode="External"/><Relationship Id="rId19" Type="http://schemas.openxmlformats.org/officeDocument/2006/relationships/hyperlink" Target="https://oceanservice.noaa.gov/facts/amoc.html" TargetMode="External"/><Relationship Id="rId20" Type="http://schemas.openxmlformats.org/officeDocument/2006/relationships/hyperlink" Target="https://ppgoceano.paginas.ufsc.br/files/2017/06/Relatorio_DOIS_v1_04.06.17.pdf" TargetMode="External"/><Relationship Id="rId21" Type="http://schemas.openxmlformats.org/officeDocument/2006/relationships/hyperlink" Target="https://doi.org/10.1007/s11069-024-06556-7" TargetMode="External"/><Relationship Id="rId22" Type="http://schemas.openxmlformats.org/officeDocument/2006/relationships/hyperlink" Target="https://www.scielo.br/j/rbmet/a/xLpyd76Gdrn4S4zpcpJ7B3z/" TargetMode="External"/><Relationship Id="rId23" Type="http://schemas.openxmlformats.org/officeDocument/2006/relationships/hyperlink" Target="https://pmc.ncbi.nlm.nih.gov/articles/PMC9787942/" TargetMode="External"/><Relationship Id="rId24" Type="http://schemas.openxmlformats.org/officeDocument/2006/relationships/hyperlink" Target="https://www.ipcc.ch/report/ar6/wg1/chapter/chapter-9/" TargetMode="Externa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5</Pages>
  <Words>1430</Words>
  <Characters>9068</Characters>
  <CharactersWithSpaces>10474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2026-09-07T21:30:25Z</dcterms:created>
  <dc:creator>Un-named</dc:creator>
  <dc:description/>
  <dc:language>pt-BR</dc:language>
  <cp:lastModifiedBy/>
  <dcterms:modified xsi:type="dcterms:W3CDTF">2026-09-07T18:41:42Z</dcterms:modified>
  <cp:revision>2</cp:revision>
  <dc:subject/>
  <dc:title/>
</cp:coreProperties>
</file>