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B510" w14:textId="0A084347" w:rsidR="00554BFD" w:rsidRDefault="00000000">
      <w:pPr>
        <w:jc w:val="center"/>
      </w:pPr>
      <w:r>
        <w:rPr>
          <w:b/>
          <w:sz w:val="36"/>
        </w:rPr>
        <w:t>COMPLEMENTO</w:t>
      </w:r>
      <w:r w:rsidR="00BD3A59">
        <w:rPr>
          <w:b/>
          <w:sz w:val="36"/>
        </w:rPr>
        <w:t xml:space="preserve"> E RESUMO</w:t>
      </w:r>
      <w:r>
        <w:rPr>
          <w:b/>
          <w:sz w:val="36"/>
        </w:rPr>
        <w:t xml:space="preserve"> DA PESQUISA</w:t>
      </w:r>
    </w:p>
    <w:p w14:paraId="1F7B1E66" w14:textId="77777777" w:rsidR="00554BFD" w:rsidRDefault="00000000">
      <w:pPr>
        <w:jc w:val="center"/>
      </w:pPr>
      <w:r>
        <w:rPr>
          <w:b/>
          <w:sz w:val="28"/>
        </w:rPr>
        <w:t>Projeção do nível do mar na Estação Ilha Fiscal – RJ</w:t>
      </w:r>
    </w:p>
    <w:p w14:paraId="514A04FF" w14:textId="77777777" w:rsidR="00554BFD" w:rsidRDefault="00000000">
      <w:pPr>
        <w:jc w:val="center"/>
      </w:pPr>
      <w:r>
        <w:rPr>
          <w:i/>
        </w:rPr>
        <w:t>Tópico 3 – Impactos costeiros no Brasil</w:t>
      </w:r>
    </w:p>
    <w:p w14:paraId="1FAE9197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1. Objetivo da etapa</w:t>
      </w:r>
    </w:p>
    <w:p w14:paraId="0714175D" w14:textId="77777777" w:rsidR="00554BFD" w:rsidRDefault="00000000">
      <w:r>
        <w:t>Nesta etapa da pesquisa, foi analisada a série histórica do nível relativo do mar na Estação Ilha Fiscal, no Rio de Janeiro. O objetivo foi construir e validar um modelo simples de regressão capaz de representar a tendência observada nos dados e gerar projeções para os próximos anos.</w:t>
      </w:r>
    </w:p>
    <w:p w14:paraId="28D10588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2. Dados utilizados</w:t>
      </w:r>
    </w:p>
    <w:p w14:paraId="75CDF577" w14:textId="77777777" w:rsidR="00554BFD" w:rsidRDefault="00000000">
      <w:r>
        <w:t>Foram utilizados dados mensais de nível relativo do mar da estação Ilha Fiscal, identificada como PSMSL 1032. A série analisada abrange o período de 1963 a 2022, formando uma base histórica de aproximadamente 59 anos. Alguns anos com quantidade insuficiente de registros foram excluídos durante a preparação dos dados.</w:t>
      </w:r>
    </w:p>
    <w:p w14:paraId="794EC5DF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3. Como o modelo foi construído</w:t>
      </w:r>
    </w:p>
    <w:p w14:paraId="5E09EEBA" w14:textId="77777777" w:rsidR="00554BFD" w:rsidRDefault="00000000">
      <w:r>
        <w:t>Foram comparados dois tipos de regressão: linear e quadrática. A regressão linear representa a tendência por meio de uma reta, enquanto a regressão quadrática utiliza uma curva e pode representar uma possível aceleração ou desaceleração.</w:t>
      </w:r>
    </w:p>
    <w:p w14:paraId="3E183302" w14:textId="77777777" w:rsidR="00554BFD" w:rsidRDefault="00000000">
      <w:r>
        <w:t>Para verificar se os modelos realmente funcionavam, os dados foram separados em duas partes. O treinamento utilizou os anos de 1963 a 2000. Depois, os modelos foram testados com dados de 2001 a 2022, que não haviam sido utilizados no treinamento. Esse procedimento foi usado como uma forma de validação por backtest.</w:t>
      </w:r>
    </w:p>
    <w:p w14:paraId="41699A9C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4. Comparação dos modelos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54BFD" w14:paraId="121B80B9" w14:textId="77777777">
        <w:tc>
          <w:tcPr>
            <w:tcW w:w="3135" w:type="dxa"/>
          </w:tcPr>
          <w:p w14:paraId="0B5D2612" w14:textId="77777777" w:rsidR="00554BFD" w:rsidRDefault="00000000">
            <w:r>
              <w:t>Modelo</w:t>
            </w:r>
          </w:p>
        </w:tc>
        <w:tc>
          <w:tcPr>
            <w:tcW w:w="3135" w:type="dxa"/>
          </w:tcPr>
          <w:p w14:paraId="0F8A3A63" w14:textId="77777777" w:rsidR="00554BFD" w:rsidRDefault="00000000">
            <w:r>
              <w:t>RMSE no teste</w:t>
            </w:r>
          </w:p>
        </w:tc>
        <w:tc>
          <w:tcPr>
            <w:tcW w:w="3135" w:type="dxa"/>
          </w:tcPr>
          <w:p w14:paraId="44EEA422" w14:textId="77777777" w:rsidR="00554BFD" w:rsidRDefault="00000000">
            <w:r>
              <w:t>Resultado</w:t>
            </w:r>
          </w:p>
        </w:tc>
      </w:tr>
      <w:tr w:rsidR="00554BFD" w14:paraId="0E8D29C5" w14:textId="77777777">
        <w:tc>
          <w:tcPr>
            <w:tcW w:w="3135" w:type="dxa"/>
          </w:tcPr>
          <w:p w14:paraId="442600EA" w14:textId="77777777" w:rsidR="00554BFD" w:rsidRDefault="00000000">
            <w:r>
              <w:t>Linear</w:t>
            </w:r>
          </w:p>
        </w:tc>
        <w:tc>
          <w:tcPr>
            <w:tcW w:w="3135" w:type="dxa"/>
          </w:tcPr>
          <w:p w14:paraId="00FDE455" w14:textId="77777777" w:rsidR="00554BFD" w:rsidRDefault="00000000">
            <w:r>
              <w:t>79,2 mm</w:t>
            </w:r>
          </w:p>
        </w:tc>
        <w:tc>
          <w:tcPr>
            <w:tcW w:w="3135" w:type="dxa"/>
          </w:tcPr>
          <w:p w14:paraId="272D43C2" w14:textId="77777777" w:rsidR="00554BFD" w:rsidRDefault="00000000">
            <w:r>
              <w:t>Menor erro</w:t>
            </w:r>
          </w:p>
        </w:tc>
      </w:tr>
      <w:tr w:rsidR="00554BFD" w14:paraId="685FA130" w14:textId="77777777">
        <w:tc>
          <w:tcPr>
            <w:tcW w:w="3135" w:type="dxa"/>
          </w:tcPr>
          <w:p w14:paraId="588823B3" w14:textId="77777777" w:rsidR="00554BFD" w:rsidRDefault="00000000">
            <w:r>
              <w:t>Quadrático</w:t>
            </w:r>
          </w:p>
        </w:tc>
        <w:tc>
          <w:tcPr>
            <w:tcW w:w="3135" w:type="dxa"/>
          </w:tcPr>
          <w:p w14:paraId="79CE63E7" w14:textId="77777777" w:rsidR="00554BFD" w:rsidRDefault="00000000">
            <w:r>
              <w:t>417,0 mm</w:t>
            </w:r>
          </w:p>
        </w:tc>
        <w:tc>
          <w:tcPr>
            <w:tcW w:w="3135" w:type="dxa"/>
          </w:tcPr>
          <w:p w14:paraId="7DDB7D37" w14:textId="77777777" w:rsidR="00554BFD" w:rsidRDefault="00000000">
            <w:r>
              <w:t>Maior erro</w:t>
            </w:r>
          </w:p>
        </w:tc>
      </w:tr>
    </w:tbl>
    <w:p w14:paraId="37B7922B" w14:textId="77777777" w:rsidR="00554BFD" w:rsidRDefault="00000000">
      <w:r>
        <w:t>A regressão linear apresentou um erro de teste consideravelmente menor que o modelo quadrático. Por esse motivo, o modelo linear foi considerado mais adequado para a projeção desta etapa.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F1693F" w14:paraId="64D9EC55" w14:textId="77777777">
        <w:trPr>
          <w:jc w:val="center"/>
        </w:trPr>
        <w:tc>
          <w:tcPr>
            <w:tcW w:w="1568" w:type="dxa"/>
            <w:shd w:val="clear" w:color="auto" w:fill="D9EAF7"/>
            <w:vAlign w:val="center"/>
          </w:tcPr>
          <w:p w14:paraId="186F4C66" w14:textId="77777777" w:rsidR="00F1693F" w:rsidRDefault="00000000">
            <w:r>
              <w:rPr>
                <w:b/>
                <w:sz w:val="18"/>
              </w:rPr>
              <w:t>Modelo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00D29131" w14:textId="77777777" w:rsidR="00F1693F" w:rsidRDefault="00000000">
            <w:r>
              <w:rPr>
                <w:b/>
                <w:sz w:val="18"/>
              </w:rPr>
              <w:t>RMSE (mm)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2918B7C1" w14:textId="77777777" w:rsidR="00F1693F" w:rsidRDefault="00000000">
            <w:r>
              <w:rPr>
                <w:b/>
                <w:sz w:val="18"/>
              </w:rPr>
              <w:t>MAE (mm)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344E2E5F" w14:textId="77777777" w:rsidR="00F1693F" w:rsidRDefault="00000000">
            <w:r>
              <w:rPr>
                <w:b/>
                <w:sz w:val="18"/>
              </w:rPr>
              <w:t>MAPE (%)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3655CDE3" w14:textId="77777777" w:rsidR="00F1693F" w:rsidRDefault="00000000">
            <w:r>
              <w:rPr>
                <w:b/>
                <w:sz w:val="18"/>
              </w:rPr>
              <w:t>Acerto (%)*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14C857B8" w14:textId="77777777" w:rsidR="00F1693F" w:rsidRDefault="00000000">
            <w:r>
              <w:rPr>
                <w:b/>
                <w:sz w:val="18"/>
              </w:rPr>
              <w:t>R² fora da amostra</w:t>
            </w:r>
          </w:p>
        </w:tc>
      </w:tr>
      <w:tr w:rsidR="00F1693F" w14:paraId="1DE7F67C" w14:textId="77777777">
        <w:trPr>
          <w:jc w:val="center"/>
        </w:trPr>
        <w:tc>
          <w:tcPr>
            <w:tcW w:w="1568" w:type="dxa"/>
            <w:vAlign w:val="center"/>
          </w:tcPr>
          <w:p w14:paraId="174C6574" w14:textId="77777777" w:rsidR="00F1693F" w:rsidRDefault="00000000">
            <w:r>
              <w:rPr>
                <w:sz w:val="18"/>
              </w:rPr>
              <w:t>Linear</w:t>
            </w:r>
          </w:p>
        </w:tc>
        <w:tc>
          <w:tcPr>
            <w:tcW w:w="1568" w:type="dxa"/>
            <w:vAlign w:val="center"/>
          </w:tcPr>
          <w:p w14:paraId="68DCCE2F" w14:textId="77777777" w:rsidR="00F1693F" w:rsidRDefault="00000000">
            <w:r>
              <w:rPr>
                <w:sz w:val="18"/>
              </w:rPr>
              <w:t>79,2</w:t>
            </w:r>
          </w:p>
        </w:tc>
        <w:tc>
          <w:tcPr>
            <w:tcW w:w="1568" w:type="dxa"/>
            <w:vAlign w:val="center"/>
          </w:tcPr>
          <w:p w14:paraId="79DEC001" w14:textId="77777777" w:rsidR="00F1693F" w:rsidRDefault="00000000">
            <w:r>
              <w:rPr>
                <w:sz w:val="18"/>
              </w:rPr>
              <w:t>68,5</w:t>
            </w:r>
          </w:p>
        </w:tc>
        <w:tc>
          <w:tcPr>
            <w:tcW w:w="1568" w:type="dxa"/>
            <w:vAlign w:val="center"/>
          </w:tcPr>
          <w:p w14:paraId="7178EBE2" w14:textId="77777777" w:rsidR="00F1693F" w:rsidRDefault="00000000">
            <w:r>
              <w:rPr>
                <w:sz w:val="18"/>
              </w:rPr>
              <w:t>0,99</w:t>
            </w:r>
          </w:p>
        </w:tc>
        <w:tc>
          <w:tcPr>
            <w:tcW w:w="1568" w:type="dxa"/>
            <w:vAlign w:val="center"/>
          </w:tcPr>
          <w:p w14:paraId="46FE3151" w14:textId="77777777" w:rsidR="00F1693F" w:rsidRDefault="00000000">
            <w:r>
              <w:rPr>
                <w:sz w:val="18"/>
              </w:rPr>
              <w:t>99,01</w:t>
            </w:r>
          </w:p>
        </w:tc>
        <w:tc>
          <w:tcPr>
            <w:tcW w:w="1568" w:type="dxa"/>
            <w:vAlign w:val="center"/>
          </w:tcPr>
          <w:p w14:paraId="20B6BFC7" w14:textId="77777777" w:rsidR="00F1693F" w:rsidRDefault="00000000">
            <w:r>
              <w:rPr>
                <w:sz w:val="18"/>
              </w:rPr>
              <w:t>-0,171</w:t>
            </w:r>
          </w:p>
        </w:tc>
      </w:tr>
      <w:tr w:rsidR="00F1693F" w14:paraId="767FAD7E" w14:textId="77777777">
        <w:trPr>
          <w:jc w:val="center"/>
        </w:trPr>
        <w:tc>
          <w:tcPr>
            <w:tcW w:w="1568" w:type="dxa"/>
            <w:vAlign w:val="center"/>
          </w:tcPr>
          <w:p w14:paraId="66E7A792" w14:textId="77777777" w:rsidR="00F1693F" w:rsidRDefault="00000000">
            <w:r>
              <w:rPr>
                <w:sz w:val="18"/>
              </w:rPr>
              <w:t>Quadrático</w:t>
            </w:r>
          </w:p>
        </w:tc>
        <w:tc>
          <w:tcPr>
            <w:tcW w:w="1568" w:type="dxa"/>
            <w:vAlign w:val="center"/>
          </w:tcPr>
          <w:p w14:paraId="6014728A" w14:textId="77777777" w:rsidR="00F1693F" w:rsidRDefault="00000000">
            <w:r>
              <w:rPr>
                <w:sz w:val="18"/>
              </w:rPr>
              <w:t>417,0</w:t>
            </w:r>
          </w:p>
        </w:tc>
        <w:tc>
          <w:tcPr>
            <w:tcW w:w="1568" w:type="dxa"/>
            <w:vAlign w:val="center"/>
          </w:tcPr>
          <w:p w14:paraId="0B7B048F" w14:textId="77777777" w:rsidR="00F1693F" w:rsidRDefault="00000000">
            <w:r>
              <w:rPr>
                <w:sz w:val="18"/>
              </w:rPr>
              <w:t>341,6</w:t>
            </w:r>
          </w:p>
        </w:tc>
        <w:tc>
          <w:tcPr>
            <w:tcW w:w="1568" w:type="dxa"/>
            <w:vAlign w:val="center"/>
          </w:tcPr>
          <w:p w14:paraId="096A8F0F" w14:textId="77777777" w:rsidR="00F1693F" w:rsidRDefault="00000000">
            <w:r>
              <w:rPr>
                <w:sz w:val="18"/>
              </w:rPr>
              <w:t>4,86</w:t>
            </w:r>
          </w:p>
        </w:tc>
        <w:tc>
          <w:tcPr>
            <w:tcW w:w="1568" w:type="dxa"/>
            <w:vAlign w:val="center"/>
          </w:tcPr>
          <w:p w14:paraId="57FEF343" w14:textId="77777777" w:rsidR="00F1693F" w:rsidRDefault="00000000">
            <w:r>
              <w:rPr>
                <w:sz w:val="18"/>
              </w:rPr>
              <w:t>95,14</w:t>
            </w:r>
          </w:p>
        </w:tc>
        <w:tc>
          <w:tcPr>
            <w:tcW w:w="1568" w:type="dxa"/>
            <w:vAlign w:val="center"/>
          </w:tcPr>
          <w:p w14:paraId="6AC72FBF" w14:textId="77777777" w:rsidR="00F1693F" w:rsidRDefault="00000000">
            <w:r>
              <w:rPr>
                <w:sz w:val="18"/>
              </w:rPr>
              <w:t>-31,418</w:t>
            </w:r>
          </w:p>
        </w:tc>
      </w:tr>
    </w:tbl>
    <w:p w14:paraId="1B2FA566" w14:textId="77777777" w:rsidR="00F1693F" w:rsidRDefault="00000000">
      <w:pPr>
        <w:jc w:val="center"/>
      </w:pPr>
      <w:r>
        <w:rPr>
          <w:i/>
          <w:sz w:val="18"/>
        </w:rPr>
        <w:t>Figura 2 — Backtest: valores reais de 2001–2022 comparados às previsões dos modelos linear e quadrático.</w:t>
      </w:r>
    </w:p>
    <w:p w14:paraId="0DE8FFD1" w14:textId="77777777" w:rsidR="00F169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CC7333" wp14:editId="226C3BC7">
            <wp:extent cx="5669280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9d8b4c18d2fe173dd58eb68fde68c93e8ea4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AC86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5. Principais resultados</w:t>
      </w:r>
    </w:p>
    <w:p w14:paraId="34A961FA" w14:textId="77777777" w:rsidR="00554BFD" w:rsidRDefault="00000000">
      <w:pPr>
        <w:pStyle w:val="Commarcadores"/>
      </w:pPr>
      <w:r>
        <w:t>Tendência histórica estimada: aproximadamente 2,9 mm por ano.</w:t>
      </w:r>
    </w:p>
    <w:p w14:paraId="612090BB" w14:textId="77777777" w:rsidR="00554BFD" w:rsidRDefault="00000000">
      <w:pPr>
        <w:pStyle w:val="Commarcadores"/>
      </w:pPr>
      <w:r>
        <w:t>Projeção entre 2026 e 2045: aproximadamente 5,5 cm de aumento.</w:t>
      </w:r>
    </w:p>
    <w:p w14:paraId="395D38C4" w14:textId="77777777" w:rsidR="00554BFD" w:rsidRDefault="00000000">
      <w:pPr>
        <w:pStyle w:val="Commarcadores"/>
      </w:pPr>
      <w:r>
        <w:t>Projeção entre 2026 e 2050: aproximadamente 6,9 cm de aumento.</w:t>
      </w:r>
    </w:p>
    <w:p w14:paraId="48578115" w14:textId="77777777" w:rsidR="00554BFD" w:rsidRDefault="00000000">
      <w:pPr>
        <w:pStyle w:val="Commarcadores"/>
      </w:pPr>
      <w:r>
        <w:t>As projeções possuem margem de incerteza e representam a continuidade da tendência histórica.</w:t>
      </w:r>
    </w:p>
    <w:p w14:paraId="5FFFE036" w14:textId="77777777" w:rsidR="00F1693F" w:rsidRDefault="00000000">
      <w:pPr>
        <w:jc w:val="center"/>
      </w:pPr>
      <w:r>
        <w:rPr>
          <w:i/>
          <w:sz w:val="18"/>
        </w:rPr>
        <w:t>Figura 3 — Projeção do nível do mar na Ilha Fiscal até 2050, com intervalo de confiança de 95%.</w:t>
      </w:r>
    </w:p>
    <w:p w14:paraId="764972CC" w14:textId="77777777" w:rsidR="00F1693F" w:rsidRDefault="00000000">
      <w:pPr>
        <w:jc w:val="center"/>
      </w:pPr>
      <w:r>
        <w:rPr>
          <w:noProof/>
        </w:rPr>
        <w:drawing>
          <wp:inline distT="0" distB="0" distL="0" distR="0" wp14:anchorId="2D3E0960" wp14:editId="3FFA77AD">
            <wp:extent cx="5669280" cy="31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811fe7dc9244ad770f519ba1a9c91a1f1e0ec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1693F" w14:paraId="14E951C9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7AC5ED9F" w14:textId="77777777" w:rsidR="00F1693F" w:rsidRDefault="00000000">
            <w:r>
              <w:rPr>
                <w:b/>
                <w:sz w:val="18"/>
              </w:rPr>
              <w:t>Ano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639F429" w14:textId="77777777" w:rsidR="00F1693F" w:rsidRDefault="00000000">
            <w:r>
              <w:rPr>
                <w:b/>
                <w:sz w:val="18"/>
              </w:rPr>
              <w:t>Projeção (mm)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8588510" w14:textId="77777777" w:rsidR="00F1693F" w:rsidRDefault="00000000">
            <w:r>
              <w:rPr>
                <w:b/>
                <w:sz w:val="18"/>
              </w:rPr>
              <w:t>IC 95% da reta (mm)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6F58B30" w14:textId="77777777" w:rsidR="00F1693F" w:rsidRDefault="00000000">
            <w:r>
              <w:rPr>
                <w:b/>
                <w:sz w:val="18"/>
              </w:rPr>
              <w:t>IC 95% de previsão (mm)</w:t>
            </w:r>
          </w:p>
        </w:tc>
      </w:tr>
      <w:tr w:rsidR="00F1693F" w14:paraId="0133CD06" w14:textId="77777777">
        <w:trPr>
          <w:jc w:val="center"/>
        </w:trPr>
        <w:tc>
          <w:tcPr>
            <w:tcW w:w="2351" w:type="dxa"/>
            <w:vAlign w:val="center"/>
          </w:tcPr>
          <w:p w14:paraId="55F338FA" w14:textId="77777777" w:rsidR="00F1693F" w:rsidRDefault="00000000">
            <w:r>
              <w:rPr>
                <w:sz w:val="18"/>
              </w:rPr>
              <w:t>2026</w:t>
            </w:r>
          </w:p>
        </w:tc>
        <w:tc>
          <w:tcPr>
            <w:tcW w:w="2351" w:type="dxa"/>
            <w:vAlign w:val="center"/>
          </w:tcPr>
          <w:p w14:paraId="6EDDA80F" w14:textId="77777777" w:rsidR="00F1693F" w:rsidRDefault="00000000">
            <w:r>
              <w:rPr>
                <w:sz w:val="18"/>
              </w:rPr>
              <w:t>7036,8</w:t>
            </w:r>
          </w:p>
        </w:tc>
        <w:tc>
          <w:tcPr>
            <w:tcW w:w="2351" w:type="dxa"/>
            <w:vAlign w:val="center"/>
          </w:tcPr>
          <w:p w14:paraId="48852E1A" w14:textId="77777777" w:rsidR="00F1693F" w:rsidRDefault="00000000">
            <w:r>
              <w:rPr>
                <w:sz w:val="18"/>
              </w:rPr>
              <w:t>6995 a 7078</w:t>
            </w:r>
          </w:p>
        </w:tc>
        <w:tc>
          <w:tcPr>
            <w:tcW w:w="2351" w:type="dxa"/>
            <w:vAlign w:val="center"/>
          </w:tcPr>
          <w:p w14:paraId="38466F97" w14:textId="77777777" w:rsidR="00F1693F" w:rsidRDefault="00000000">
            <w:r>
              <w:rPr>
                <w:sz w:val="18"/>
              </w:rPr>
              <w:t>6888 a 7185</w:t>
            </w:r>
          </w:p>
        </w:tc>
      </w:tr>
      <w:tr w:rsidR="00F1693F" w14:paraId="62D909E8" w14:textId="77777777">
        <w:trPr>
          <w:jc w:val="center"/>
        </w:trPr>
        <w:tc>
          <w:tcPr>
            <w:tcW w:w="2351" w:type="dxa"/>
            <w:vAlign w:val="center"/>
          </w:tcPr>
          <w:p w14:paraId="3B4D1880" w14:textId="77777777" w:rsidR="00F1693F" w:rsidRDefault="00000000">
            <w:r>
              <w:rPr>
                <w:sz w:val="18"/>
              </w:rPr>
              <w:lastRenderedPageBreak/>
              <w:t>2045</w:t>
            </w:r>
          </w:p>
        </w:tc>
        <w:tc>
          <w:tcPr>
            <w:tcW w:w="2351" w:type="dxa"/>
            <w:vAlign w:val="center"/>
          </w:tcPr>
          <w:p w14:paraId="17B1BE9F" w14:textId="77777777" w:rsidR="00F1693F" w:rsidRDefault="00000000">
            <w:r>
              <w:rPr>
                <w:sz w:val="18"/>
              </w:rPr>
              <w:t>7091,4</w:t>
            </w:r>
          </w:p>
        </w:tc>
        <w:tc>
          <w:tcPr>
            <w:tcW w:w="2351" w:type="dxa"/>
            <w:vAlign w:val="center"/>
          </w:tcPr>
          <w:p w14:paraId="18EA89B8" w14:textId="77777777" w:rsidR="00F1693F" w:rsidRDefault="00000000">
            <w:r>
              <w:rPr>
                <w:sz w:val="18"/>
              </w:rPr>
              <w:t>7030 a 7152</w:t>
            </w:r>
          </w:p>
        </w:tc>
        <w:tc>
          <w:tcPr>
            <w:tcW w:w="2351" w:type="dxa"/>
            <w:vAlign w:val="center"/>
          </w:tcPr>
          <w:p w14:paraId="78B214E8" w14:textId="77777777" w:rsidR="00F1693F" w:rsidRDefault="00000000">
            <w:r>
              <w:rPr>
                <w:sz w:val="18"/>
              </w:rPr>
              <w:t>6936 a 7246</w:t>
            </w:r>
          </w:p>
        </w:tc>
      </w:tr>
      <w:tr w:rsidR="00F1693F" w14:paraId="6FA485C2" w14:textId="77777777">
        <w:trPr>
          <w:jc w:val="center"/>
        </w:trPr>
        <w:tc>
          <w:tcPr>
            <w:tcW w:w="2351" w:type="dxa"/>
            <w:vAlign w:val="center"/>
          </w:tcPr>
          <w:p w14:paraId="3B5DEC69" w14:textId="77777777" w:rsidR="00F1693F" w:rsidRDefault="00000000">
            <w:r>
              <w:rPr>
                <w:sz w:val="18"/>
              </w:rPr>
              <w:t>2050</w:t>
            </w:r>
          </w:p>
        </w:tc>
        <w:tc>
          <w:tcPr>
            <w:tcW w:w="2351" w:type="dxa"/>
            <w:vAlign w:val="center"/>
          </w:tcPr>
          <w:p w14:paraId="1D435DE6" w14:textId="77777777" w:rsidR="00F1693F" w:rsidRDefault="00000000">
            <w:r>
              <w:rPr>
                <w:sz w:val="18"/>
              </w:rPr>
              <w:t>7105,8</w:t>
            </w:r>
          </w:p>
        </w:tc>
        <w:tc>
          <w:tcPr>
            <w:tcW w:w="2351" w:type="dxa"/>
            <w:vAlign w:val="center"/>
          </w:tcPr>
          <w:p w14:paraId="3C760DA8" w14:textId="77777777" w:rsidR="00F1693F" w:rsidRDefault="00000000">
            <w:r>
              <w:rPr>
                <w:sz w:val="18"/>
              </w:rPr>
              <w:t>7039 a 7172</w:t>
            </w:r>
          </w:p>
        </w:tc>
        <w:tc>
          <w:tcPr>
            <w:tcW w:w="2351" w:type="dxa"/>
            <w:vAlign w:val="center"/>
          </w:tcPr>
          <w:p w14:paraId="17F6BC5A" w14:textId="77777777" w:rsidR="00F1693F" w:rsidRDefault="00000000">
            <w:r>
              <w:rPr>
                <w:sz w:val="18"/>
              </w:rPr>
              <w:t>6949 a 7263</w:t>
            </w:r>
          </w:p>
        </w:tc>
      </w:tr>
    </w:tbl>
    <w:p w14:paraId="15AC651B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6. Interpretação dos resultados</w:t>
      </w:r>
    </w:p>
    <w:p w14:paraId="11AF7994" w14:textId="77777777" w:rsidR="00554BFD" w:rsidRDefault="00000000">
      <w:r>
        <w:t>Os resultados indicam uma tendência de elevação do nível relativo do mar na série da Ilha Fiscal. Entretanto, o modelo não deve ser interpretado como uma previsão exata do futuro. Ele utiliza principalmente o comportamento histórico da estação e, portanto, pode não representar mudanças futuras na velocidade de derretimento das geleiras e calotas de gelo.</w:t>
      </w:r>
    </w:p>
    <w:p w14:paraId="13D7E228" w14:textId="77777777" w:rsidR="00554BFD" w:rsidRDefault="00000000">
      <w:r>
        <w:t>Também é importante lembrar que o nível relativo do mar observado em uma estação costeira pode ser influenciado por fatores locais. Assim, a elevação medida na Ilha Fiscal não pode ser atribuída exclusivamente ao derretimento das calotas polares.</w:t>
      </w:r>
    </w:p>
    <w:p w14:paraId="5C0BE5A2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7. Relação com o tema geral do trabalho</w:t>
      </w:r>
    </w:p>
    <w:p w14:paraId="4F754E2B" w14:textId="77777777" w:rsidR="00554BFD" w:rsidRDefault="00000000">
      <w:r>
        <w:t>Esta análise contribui para a parte do trabalho que busca relacionar o degelo das calotas polares aos possíveis impactos no Brasil e no Atlântico Sul. A projeção da Ilha Fiscal fornece uma estimativa baseada em dados locais. Em uma etapa posterior, essa informação deverá ser comparada com a taxa de perda de gelo estudada pelo grupo, permitindo discutir quanto da elevação pode estar relacionado ao degelo e quanto pode estar associado a outros fatores.</w:t>
      </w:r>
    </w:p>
    <w:p w14:paraId="6244AB0D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8. Limitações identificadas</w:t>
      </w:r>
    </w:p>
    <w:p w14:paraId="7F62ECFB" w14:textId="77777777" w:rsidR="00554BFD" w:rsidRDefault="00000000">
      <w:pPr>
        <w:pStyle w:val="Commarcadores"/>
      </w:pPr>
      <w:r>
        <w:t>A série possui uma lacuna em 1987–1988.</w:t>
      </w:r>
    </w:p>
    <w:p w14:paraId="112A6288" w14:textId="77777777" w:rsidR="00554BFD" w:rsidRDefault="00000000">
      <w:pPr>
        <w:pStyle w:val="Commarcadores"/>
      </w:pPr>
      <w:r>
        <w:t>Existe uma mudança de sensor em 2011 que ainda precisa ser analisada com maior detalhe.</w:t>
      </w:r>
    </w:p>
    <w:p w14:paraId="2212ACF0" w14:textId="77777777" w:rsidR="00554BFD" w:rsidRDefault="00000000">
      <w:pPr>
        <w:pStyle w:val="Commarcadores"/>
      </w:pPr>
      <w:r>
        <w:t>O nível registrado é relativo, combinando mudanças no oceano e possíveis movimentos do terreno.</w:t>
      </w:r>
    </w:p>
    <w:p w14:paraId="41812923" w14:textId="77777777" w:rsidR="00554BFD" w:rsidRDefault="00000000">
      <w:pPr>
        <w:pStyle w:val="Commarcadores"/>
      </w:pPr>
      <w:r>
        <w:t>Há autocorrelação nos resíduos, o que pode fazer os intervalos estatísticos tradicionais parecerem mais estreitos do que deveriam.</w:t>
      </w:r>
    </w:p>
    <w:p w14:paraId="1313F52A" w14:textId="77777777" w:rsidR="00554BFD" w:rsidRDefault="00000000">
      <w:pPr>
        <w:pStyle w:val="Commarcadores"/>
      </w:pPr>
      <w:r>
        <w:t>Uma regressão baseada no histórico não consegue representar sozinha uma possível aceleração futura do derretimento das calotas.</w:t>
      </w:r>
    </w:p>
    <w:p w14:paraId="7FB110BD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9. Conclusão desta etapa</w:t>
      </w:r>
    </w:p>
    <w:p w14:paraId="46DC239D" w14:textId="77777777" w:rsidR="00554BFD" w:rsidRDefault="00000000">
      <w:r>
        <w:t>A análise da Ilha Fiscal permitiu testar uma metodologia de projeção utilizando dados reais e uma etapa de validação. Entre os modelos avaliados, a regressão linear apresentou o melhor desempenho no backtest. Com a série completa, a tendência estimada foi de cerca de 2,9 mm por ano, resultando em uma projeção de aproximadamente 5,5 cm até 2045 e 6,9 cm até 2050. Esses resultados serão utilizados como base para a comparação com as projeções globais e com os dados de derretimento das calotas polares.</w:t>
      </w:r>
    </w:p>
    <w:p w14:paraId="064F08BE" w14:textId="77777777" w:rsidR="00554BFD" w:rsidRPr="006D7605" w:rsidRDefault="00000000">
      <w:pPr>
        <w:pStyle w:val="Ttulo1"/>
        <w:rPr>
          <w:color w:val="000000" w:themeColor="text1"/>
        </w:rPr>
      </w:pPr>
      <w:r w:rsidRPr="006D7605">
        <w:rPr>
          <w:color w:val="000000" w:themeColor="text1"/>
        </w:rPr>
        <w:t>10. Fontes e materiais consultados</w:t>
      </w:r>
    </w:p>
    <w:p w14:paraId="210F182C" w14:textId="77777777" w:rsidR="00554BFD" w:rsidRDefault="00000000">
      <w:r>
        <w:t>• PSMSL – Permanent Service for Mean Sea Level, série da Estação Ilha Fiscal (PSMSL 1032).</w:t>
      </w:r>
      <w:r>
        <w:br/>
        <w:t>• Carvalho et al. (2024) – estudo utilizado como comparação para a tendência histórica da Ilha Fiscal.</w:t>
      </w:r>
      <w:r>
        <w:br/>
        <w:t>• IPCC AR6 – referências utilizadas pelo grupo para comparação com projeções globais do nível do mar.</w:t>
      </w:r>
      <w:r>
        <w:br/>
      </w:r>
      <w:r>
        <w:lastRenderedPageBreak/>
        <w:t>• Relatório do grupo: Modelo de Projeção Validado do Nível do Mar – Estação Ilha Fiscal (RJ), PSMSL 1032.</w:t>
      </w:r>
      <w:r>
        <w:br/>
        <w:t>• Guia do Grupo – Tendências da Computação.</w:t>
      </w:r>
    </w:p>
    <w:p w14:paraId="5B1F1DD5" w14:textId="77777777" w:rsidR="00F1693F" w:rsidRDefault="00000000">
      <w:r>
        <w:br w:type="page"/>
      </w:r>
    </w:p>
    <w:p w14:paraId="53C86A04" w14:textId="77777777" w:rsidR="00F1693F" w:rsidRDefault="00000000">
      <w:r>
        <w:rPr>
          <w:b/>
          <w:sz w:val="32"/>
        </w:rPr>
        <w:lastRenderedPageBreak/>
        <w:t>11. Painel-resumo dos resultados</w:t>
      </w:r>
    </w:p>
    <w:p w14:paraId="4A97FC09" w14:textId="77777777" w:rsidR="00F1693F" w:rsidRDefault="00000000">
      <w:pPr>
        <w:jc w:val="center"/>
      </w:pPr>
      <w:r>
        <w:rPr>
          <w:noProof/>
        </w:rPr>
        <w:drawing>
          <wp:inline distT="0" distB="0" distL="0" distR="0" wp14:anchorId="06CDEC7C" wp14:editId="24F61336">
            <wp:extent cx="566928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1625f97238f6a55a8aab41a211678adf4101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C447" w14:textId="77777777" w:rsidR="00F1693F" w:rsidRDefault="00000000">
      <w:pPr>
        <w:jc w:val="center"/>
      </w:pPr>
      <w:r>
        <w:rPr>
          <w:i/>
          <w:sz w:val="18"/>
        </w:rPr>
        <w:t>Figura 1 — Série histórica da Ilha Fiscal, destacando os períodos de treino e teste e a regressão linear final.</w:t>
      </w:r>
    </w:p>
    <w:p w14:paraId="55F2BDEB" w14:textId="77777777" w:rsidR="00F1693F" w:rsidRDefault="00000000">
      <w:pPr>
        <w:spacing w:after="160"/>
      </w:pPr>
      <w:r>
        <w:t>Os elementos abaixo reúnem os principais números utilizados na análise e facilitam a conferência dos resultados apresentados no complemento.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1693F" w14:paraId="65397A78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C6CD050" w14:textId="77777777" w:rsidR="00F1693F" w:rsidRDefault="00000000">
            <w:r>
              <w:rPr>
                <w:b/>
                <w:sz w:val="18"/>
              </w:rPr>
              <w:t>Indicador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5807523" w14:textId="77777777" w:rsidR="00F1693F" w:rsidRDefault="00000000">
            <w:r>
              <w:rPr>
                <w:b/>
                <w:sz w:val="18"/>
              </w:rPr>
              <w:t>Resultado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C1AA505" w14:textId="77777777" w:rsidR="00F1693F" w:rsidRDefault="00000000">
            <w:r>
              <w:rPr>
                <w:b/>
                <w:sz w:val="18"/>
              </w:rPr>
              <w:t>Interpretação</w:t>
            </w:r>
          </w:p>
        </w:tc>
      </w:tr>
      <w:tr w:rsidR="00F1693F" w14:paraId="3C626227" w14:textId="77777777">
        <w:trPr>
          <w:jc w:val="center"/>
        </w:trPr>
        <w:tc>
          <w:tcPr>
            <w:tcW w:w="3135" w:type="dxa"/>
            <w:vAlign w:val="center"/>
          </w:tcPr>
          <w:p w14:paraId="691C3CA3" w14:textId="77777777" w:rsidR="00F1693F" w:rsidRDefault="00000000">
            <w:r>
              <w:rPr>
                <w:sz w:val="18"/>
              </w:rPr>
              <w:t>Tendência histórica</w:t>
            </w:r>
          </w:p>
        </w:tc>
        <w:tc>
          <w:tcPr>
            <w:tcW w:w="3135" w:type="dxa"/>
            <w:vAlign w:val="center"/>
          </w:tcPr>
          <w:p w14:paraId="7B4F1A65" w14:textId="77777777" w:rsidR="00F1693F" w:rsidRDefault="00000000">
            <w:r>
              <w:rPr>
                <w:sz w:val="18"/>
              </w:rPr>
              <w:t>2,875 mm/ano</w:t>
            </w:r>
          </w:p>
        </w:tc>
        <w:tc>
          <w:tcPr>
            <w:tcW w:w="3135" w:type="dxa"/>
            <w:vAlign w:val="center"/>
          </w:tcPr>
          <w:p w14:paraId="24B48516" w14:textId="77777777" w:rsidR="00F1693F" w:rsidRDefault="00000000">
            <w:r>
              <w:rPr>
                <w:sz w:val="18"/>
              </w:rPr>
              <w:t>Taxa estimada pela regressão linear final.</w:t>
            </w:r>
          </w:p>
        </w:tc>
      </w:tr>
      <w:tr w:rsidR="00F1693F" w14:paraId="223ED3C0" w14:textId="77777777">
        <w:trPr>
          <w:jc w:val="center"/>
        </w:trPr>
        <w:tc>
          <w:tcPr>
            <w:tcW w:w="3135" w:type="dxa"/>
            <w:vAlign w:val="center"/>
          </w:tcPr>
          <w:p w14:paraId="255C3EBF" w14:textId="77777777" w:rsidR="00F1693F" w:rsidRDefault="00000000">
            <w:r>
              <w:rPr>
                <w:sz w:val="18"/>
              </w:rPr>
              <w:t>RMSE — linear</w:t>
            </w:r>
          </w:p>
        </w:tc>
        <w:tc>
          <w:tcPr>
            <w:tcW w:w="3135" w:type="dxa"/>
            <w:vAlign w:val="center"/>
          </w:tcPr>
          <w:p w14:paraId="5EDFF14A" w14:textId="77777777" w:rsidR="00F1693F" w:rsidRDefault="00000000">
            <w:r>
              <w:rPr>
                <w:sz w:val="18"/>
              </w:rPr>
              <w:t>79,2 mm</w:t>
            </w:r>
          </w:p>
        </w:tc>
        <w:tc>
          <w:tcPr>
            <w:tcW w:w="3135" w:type="dxa"/>
            <w:vAlign w:val="center"/>
          </w:tcPr>
          <w:p w14:paraId="50387DCC" w14:textId="77777777" w:rsidR="00F1693F" w:rsidRDefault="00000000">
            <w:r>
              <w:rPr>
                <w:sz w:val="18"/>
              </w:rPr>
              <w:t>Menor erro no backtest.</w:t>
            </w:r>
          </w:p>
        </w:tc>
      </w:tr>
      <w:tr w:rsidR="00F1693F" w14:paraId="5320782E" w14:textId="77777777">
        <w:trPr>
          <w:jc w:val="center"/>
        </w:trPr>
        <w:tc>
          <w:tcPr>
            <w:tcW w:w="3135" w:type="dxa"/>
            <w:vAlign w:val="center"/>
          </w:tcPr>
          <w:p w14:paraId="5F4E4204" w14:textId="77777777" w:rsidR="00F1693F" w:rsidRDefault="00000000">
            <w:r>
              <w:rPr>
                <w:sz w:val="18"/>
              </w:rPr>
              <w:t>RMSE — quadrático</w:t>
            </w:r>
          </w:p>
        </w:tc>
        <w:tc>
          <w:tcPr>
            <w:tcW w:w="3135" w:type="dxa"/>
            <w:vAlign w:val="center"/>
          </w:tcPr>
          <w:p w14:paraId="5847886A" w14:textId="77777777" w:rsidR="00F1693F" w:rsidRDefault="00000000">
            <w:r>
              <w:rPr>
                <w:sz w:val="18"/>
              </w:rPr>
              <w:t>417,0 mm</w:t>
            </w:r>
          </w:p>
        </w:tc>
        <w:tc>
          <w:tcPr>
            <w:tcW w:w="3135" w:type="dxa"/>
            <w:vAlign w:val="center"/>
          </w:tcPr>
          <w:p w14:paraId="4B49391A" w14:textId="77777777" w:rsidR="00F1693F" w:rsidRDefault="00000000">
            <w:r>
              <w:rPr>
                <w:sz w:val="18"/>
              </w:rPr>
              <w:t>Erro muito maior no período de teste.</w:t>
            </w:r>
          </w:p>
        </w:tc>
      </w:tr>
      <w:tr w:rsidR="00F1693F" w14:paraId="6AE85C7B" w14:textId="77777777">
        <w:trPr>
          <w:jc w:val="center"/>
        </w:trPr>
        <w:tc>
          <w:tcPr>
            <w:tcW w:w="3135" w:type="dxa"/>
            <w:vAlign w:val="center"/>
          </w:tcPr>
          <w:p w14:paraId="1FAF5F78" w14:textId="77777777" w:rsidR="00F1693F" w:rsidRDefault="00000000">
            <w:r>
              <w:rPr>
                <w:sz w:val="18"/>
              </w:rPr>
              <w:t>Projeção 2026→2045</w:t>
            </w:r>
          </w:p>
        </w:tc>
        <w:tc>
          <w:tcPr>
            <w:tcW w:w="3135" w:type="dxa"/>
            <w:vAlign w:val="center"/>
          </w:tcPr>
          <w:p w14:paraId="25EE4182" w14:textId="77777777" w:rsidR="00F1693F" w:rsidRDefault="00000000">
            <w:r>
              <w:rPr>
                <w:sz w:val="18"/>
              </w:rPr>
              <w:t>+5,46 cm</w:t>
            </w:r>
          </w:p>
        </w:tc>
        <w:tc>
          <w:tcPr>
            <w:tcW w:w="3135" w:type="dxa"/>
            <w:vAlign w:val="center"/>
          </w:tcPr>
          <w:p w14:paraId="4053D392" w14:textId="77777777" w:rsidR="00F1693F" w:rsidRDefault="00000000">
            <w:r>
              <w:rPr>
                <w:sz w:val="18"/>
              </w:rPr>
              <w:t>Variação projetada pela tendência.</w:t>
            </w:r>
          </w:p>
        </w:tc>
      </w:tr>
      <w:tr w:rsidR="00F1693F" w14:paraId="2B60DF7A" w14:textId="77777777">
        <w:trPr>
          <w:jc w:val="center"/>
        </w:trPr>
        <w:tc>
          <w:tcPr>
            <w:tcW w:w="3135" w:type="dxa"/>
            <w:vAlign w:val="center"/>
          </w:tcPr>
          <w:p w14:paraId="6F30CFB8" w14:textId="77777777" w:rsidR="00F1693F" w:rsidRDefault="00000000">
            <w:r>
              <w:rPr>
                <w:sz w:val="18"/>
              </w:rPr>
              <w:t>Projeção 2026→2050</w:t>
            </w:r>
          </w:p>
        </w:tc>
        <w:tc>
          <w:tcPr>
            <w:tcW w:w="3135" w:type="dxa"/>
            <w:vAlign w:val="center"/>
          </w:tcPr>
          <w:p w14:paraId="3E9DBB8E" w14:textId="77777777" w:rsidR="00F1693F" w:rsidRDefault="00000000">
            <w:r>
              <w:rPr>
                <w:sz w:val="18"/>
              </w:rPr>
              <w:t>+6,90 cm</w:t>
            </w:r>
          </w:p>
        </w:tc>
        <w:tc>
          <w:tcPr>
            <w:tcW w:w="3135" w:type="dxa"/>
            <w:vAlign w:val="center"/>
          </w:tcPr>
          <w:p w14:paraId="44311E36" w14:textId="77777777" w:rsidR="00F1693F" w:rsidRDefault="00000000">
            <w:r>
              <w:rPr>
                <w:sz w:val="18"/>
              </w:rPr>
              <w:t>Variação projetada pela tendência.</w:t>
            </w:r>
          </w:p>
        </w:tc>
      </w:tr>
      <w:tr w:rsidR="00F1693F" w14:paraId="676E4CB3" w14:textId="77777777">
        <w:trPr>
          <w:jc w:val="center"/>
        </w:trPr>
        <w:tc>
          <w:tcPr>
            <w:tcW w:w="3135" w:type="dxa"/>
            <w:vAlign w:val="center"/>
          </w:tcPr>
          <w:p w14:paraId="3E6A0757" w14:textId="77777777" w:rsidR="00F1693F" w:rsidRDefault="00000000">
            <w:r>
              <w:rPr>
                <w:sz w:val="18"/>
              </w:rPr>
              <w:t>R² do ajuste final</w:t>
            </w:r>
          </w:p>
        </w:tc>
        <w:tc>
          <w:tcPr>
            <w:tcW w:w="3135" w:type="dxa"/>
            <w:vAlign w:val="center"/>
          </w:tcPr>
          <w:p w14:paraId="04A85B0B" w14:textId="77777777" w:rsidR="00F1693F" w:rsidRDefault="00000000">
            <w:r>
              <w:rPr>
                <w:sz w:val="18"/>
              </w:rPr>
              <w:t>0,336</w:t>
            </w:r>
          </w:p>
        </w:tc>
        <w:tc>
          <w:tcPr>
            <w:tcW w:w="3135" w:type="dxa"/>
            <w:vAlign w:val="center"/>
          </w:tcPr>
          <w:p w14:paraId="49B95E95" w14:textId="77777777" w:rsidR="00F1693F" w:rsidRDefault="00000000">
            <w:r>
              <w:rPr>
                <w:sz w:val="18"/>
              </w:rPr>
              <w:t>A reta explica cerca de 33,6% da variação ano a ano.</w:t>
            </w:r>
          </w:p>
        </w:tc>
      </w:tr>
    </w:tbl>
    <w:p w14:paraId="0D814F50" w14:textId="77777777" w:rsidR="00F1693F" w:rsidRDefault="00000000">
      <w:r>
        <w:rPr>
          <w:b/>
        </w:rPr>
        <w:t xml:space="preserve">Observação: </w:t>
      </w:r>
      <w:r>
        <w:t>os gráficos e tabelas foram incorporados a partir do relatório técnico utilizado como base desta pesquisa; os valores foram mantidos conforme o documento original.</w:t>
      </w:r>
    </w:p>
    <w:sectPr w:rsidR="00F1693F" w:rsidSect="00034616"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91C2" w14:textId="77777777" w:rsidR="00142CA2" w:rsidRDefault="00142CA2">
      <w:pPr>
        <w:spacing w:after="0" w:line="240" w:lineRule="auto"/>
      </w:pPr>
      <w:r>
        <w:separator/>
      </w:r>
    </w:p>
  </w:endnote>
  <w:endnote w:type="continuationSeparator" w:id="0">
    <w:p w14:paraId="57095C93" w14:textId="77777777" w:rsidR="00142CA2" w:rsidRDefault="0014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5CE0" w14:textId="77777777" w:rsidR="00554BFD" w:rsidRDefault="00000000">
    <w:pPr>
      <w:pStyle w:val="Rodap"/>
      <w:jc w:val="center"/>
    </w:pPr>
    <w:proofErr w:type="spellStart"/>
    <w:r>
      <w:t>Complemento</w:t>
    </w:r>
    <w:proofErr w:type="spellEnd"/>
    <w:r>
      <w:t xml:space="preserve"> </w:t>
    </w:r>
    <w:proofErr w:type="spellStart"/>
    <w:r w:rsidR="006D7605">
      <w:t>regressão</w:t>
    </w:r>
    <w:proofErr w:type="spellEnd"/>
    <w:r w:rsidR="006D7605">
      <w:t xml:space="preserve"> </w:t>
    </w:r>
    <w:r w:rsidR="006D7605" w:rsidRPr="006D7605">
      <w:t xml:space="preserve">Ilha Fiscal </w:t>
    </w:r>
    <w:r>
      <w:t xml:space="preserve">– </w:t>
    </w:r>
    <w:proofErr w:type="spellStart"/>
    <w:r>
      <w:t>Tópico</w:t>
    </w:r>
    <w:proofErr w:type="spellEnd"/>
    <w:r>
      <w:t xml:space="preserve"> 3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8F88" w14:textId="77777777" w:rsidR="00142CA2" w:rsidRDefault="00142CA2">
      <w:pPr>
        <w:spacing w:after="0" w:line="240" w:lineRule="auto"/>
      </w:pPr>
      <w:r>
        <w:separator/>
      </w:r>
    </w:p>
  </w:footnote>
  <w:footnote w:type="continuationSeparator" w:id="0">
    <w:p w14:paraId="59B6CFFB" w14:textId="77777777" w:rsidR="00142CA2" w:rsidRDefault="00142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081004">
    <w:abstractNumId w:val="8"/>
  </w:num>
  <w:num w:numId="2" w16cid:durableId="1434280575">
    <w:abstractNumId w:val="6"/>
  </w:num>
  <w:num w:numId="3" w16cid:durableId="1373725663">
    <w:abstractNumId w:val="5"/>
  </w:num>
  <w:num w:numId="4" w16cid:durableId="1547066792">
    <w:abstractNumId w:val="4"/>
  </w:num>
  <w:num w:numId="5" w16cid:durableId="1225948103">
    <w:abstractNumId w:val="7"/>
  </w:num>
  <w:num w:numId="6" w16cid:durableId="1180661980">
    <w:abstractNumId w:val="3"/>
  </w:num>
  <w:num w:numId="7" w16cid:durableId="460611043">
    <w:abstractNumId w:val="2"/>
  </w:num>
  <w:num w:numId="8" w16cid:durableId="17629979">
    <w:abstractNumId w:val="1"/>
  </w:num>
  <w:num w:numId="9" w16cid:durableId="155045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48"/>
    <w:rsid w:val="0006063C"/>
    <w:rsid w:val="00142CA2"/>
    <w:rsid w:val="0015074B"/>
    <w:rsid w:val="0029639D"/>
    <w:rsid w:val="00326F90"/>
    <w:rsid w:val="00554BFD"/>
    <w:rsid w:val="006D7605"/>
    <w:rsid w:val="008B3636"/>
    <w:rsid w:val="00A70517"/>
    <w:rsid w:val="00AA1D8D"/>
    <w:rsid w:val="00B47730"/>
    <w:rsid w:val="00BD3A59"/>
    <w:rsid w:val="00CB0664"/>
    <w:rsid w:val="00F16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253AA6"/>
  <w14:defaultImageDpi w14:val="300"/>
  <w15:docId w15:val="{9E527F9E-A3F6-4379-A86D-291FC8A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944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</cp:lastModifiedBy>
  <cp:revision>3</cp:revision>
  <dcterms:created xsi:type="dcterms:W3CDTF">2013-12-23T23:15:00Z</dcterms:created>
  <dcterms:modified xsi:type="dcterms:W3CDTF">2026-09-25T00:04:00Z</dcterms:modified>
  <cp:category/>
</cp:coreProperties>
</file>