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w:t>
      </w:r>
    </w:p>
    <w:p>
      <w:pPr>
        <w:spacing w:before="0" w:after="120" w:line="360" w:lineRule="auto"/>
        <w:ind w:firstLine="709"/>
        <w:jc w:val="both"/>
      </w:pPr>
      <w:r>
        <w:rPr>
          <w:rFonts w:ascii="Arial" w:hAnsi="Arial" w:eastAsia="Arial" w:cs="Arial"/>
          <w:b w:val="0"/>
          <w:i w:val="0"/>
          <w:sz w:val="24"/>
        </w:rPr>
        <w:t>Luiz Tonny Moura Santos¹; Vinícius Nunes Benedito¹; Kauan Henrique Teixeira¹;</w:t>
      </w:r>
    </w:p>
    <w:p>
      <w:pPr>
        <w:spacing w:before="0" w:after="120" w:line="360" w:lineRule="auto"/>
        <w:ind w:firstLine="709"/>
        <w:jc w:val="both"/>
      </w:pPr>
      <w:r>
        <w:rPr>
          <w:rFonts w:ascii="Arial" w:hAnsi="Arial" w:eastAsia="Arial" w:cs="Arial"/>
          <w:b w:val="0"/>
          <w:i w:val="0"/>
          <w:sz w:val="24"/>
        </w:rPr>
        <w:t>Pedro Henrique Pereira Boldrin¹; Mateus da Silva Vieira¹; [Nome completo do 6º integrante]¹;</w:t>
      </w:r>
    </w:p>
    <w:p>
      <w:pPr>
        <w:spacing w:before="0" w:after="120" w:line="360" w:lineRule="auto"/>
        <w:ind w:firstLine="709"/>
        <w:jc w:val="both"/>
      </w:pPr>
      <w:r>
        <w:rPr>
          <w:rFonts w:ascii="Arial" w:hAnsi="Arial" w:eastAsia="Arial" w:cs="Arial"/>
          <w:b w:val="0"/>
          <w:i w:val="0"/>
          <w:sz w:val="24"/>
        </w:rPr>
        <w:t>[Nome completo do 7º integrante]¹; Prof. Dr. Renato Gonçalves Rocha²</w:t>
      </w:r>
    </w:p>
    <w:p>
      <w:pPr>
        <w:spacing w:before="0" w:after="60" w:line="240" w:lineRule="auto"/>
        <w:ind w:firstLine="0"/>
        <w:jc w:val="center"/>
      </w:pPr>
      <w:r>
        <w:rPr>
          <w:rFonts w:ascii="Arial" w:hAnsi="Arial" w:eastAsia="Arial" w:cs="Arial"/>
          <w:b w:val="0"/>
          <w:i w:val="0"/>
          <w:sz w:val="22"/>
        </w:rPr>
        <w:t>¹ Curso de Ciência da Computação, Universidade de Franca (UNIFRAN), Franca, São Paulo, Brasil.</w:t>
      </w:r>
    </w:p>
    <w:p>
      <w:pPr>
        <w:spacing w:before="0" w:after="60" w:line="240" w:lineRule="auto"/>
        <w:ind w:firstLine="0"/>
        <w:jc w:val="center"/>
      </w:pPr>
      <w:r>
        <w:rPr>
          <w:rFonts w:ascii="Arial" w:hAnsi="Arial" w:eastAsia="Arial" w:cs="Arial"/>
          <w:b w:val="0"/>
          <w:i w:val="0"/>
          <w:sz w:val="22"/>
        </w:rPr>
        <w:t>² Professor Orientador, Universidade de Franca (UNIFRAN), Franca, São Paulo,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convertendo a perda de massa polar em elevação local por meio das impressões digitais do nível do mar, medindo o movimento vertical do terreno por estações GNSS e acionando um emulador semi-empírico, calibrado em 119 anos de observação, com as trajetórias de temperatura do IPCC AR6. Cinco testes independentes de validação foram aplicados. A costa brasileira recebe 1,12 vez a elevação média global causada pelo degelo polar, com variação de apenas 12,8% ao longo de 4.000 km, porque os gradientes opostos das duas calotas se compensam. O orçamento do nível do mar fecha na Ilha Fiscal, mas é rejeitado em Cananéia, estação cuja regressão apresentava o melhor ajuste estatístico. O desempenho dos quinze algoritmos preditivos testados varia em sentido oposto nas duas séries maregráficas longas do país, conforme a razão sinal-ruído de cada uma e não conforme o algoritmo, e a estação em que eles têm bom desempenho é justamente a que o teste físico rejeita; independentemente da série, seis deles são estruturalmente incapazes de extrapolar. A sensibilidade da Groenlândia ao aquecimento no período de satélite excede provavelmente a média do século XX, com 93% de probabilidade e magnitude mal determinada (razão com mediana de 5,0 e intervalo de 95% de 0 a 13,6), e é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 multiplicação por 806 da frequência do nível extremo hoje centenário no Rio de Janeiro. Mediu-se subsidência de 3,05 ± 0,87 mm/ano em Recife, não incorporada às projeções oficiais, o que implica subestimação de cerca de 28 cm na elevação relativa projetada para aquela cidade.</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converting polar mass loss into local rise through sea-level fingerprints, measuring vertical land motion from GNSS stations, and driving a semi-empirical emulator calibrated on 119 years of observations with IPCC AR6 temperature pathways. Five independent validation tests were applied. The Brazilian coast receives 1.12 times the global mean rise caused by polar melt, varying by only 12.8% over 4,000 km because the opposing gradients of the two ice sheets cancel. The sea-level budget closes at Ilha Fiscal but is rejected at Cananéia, the station whose regression showed the best statistical fit. The performance of fifteen predictive algorithms diverges in opposite directions between the country's two long tide-gauge series, driven by each record's signal-to-noise ratio rather than by the algorithm, and the station where they perform well is precisely the one the physical test rejects; regardless of the series, six are structurally unable to extrapolate. Greenland's sensitivity to warming during the satellite era most likely exceeds the twentieth-century average, with 93% probability but poorly determined magnitude (ratio median 5.0, 95% interval 0 to 13.6), and is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and an 806-fold increase in the frequency of the present-day one-in-a-century extreme level in Rio de Janeiro. Subsidence of 3.05 ± 0.87 mm/yr was measured at Recife, not incorporated in official projections, implying an underestimation of about 28 cm in projected relative sea-level rise for that city.</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questão quantitativa. Afirmar que o degelo da Groenlândia ameaça as cidades costeiras do Brasil exige responder a três perguntas distintas: quanta água o degelo acrescenta ao oceano, quanto dessa água chega à costa brasileira, e quanto da elevação medida pelos marégrafos brasileiros se deve a esse processo e não a outros. As três têm respostas diferentes, e nenhuma delas é a média global.</w:t>
      </w:r>
    </w:p>
    <w:p>
      <w:pPr>
        <w:spacing w:before="0" w:after="120" w:line="360" w:lineRule="auto"/>
        <w:ind w:firstLine="709"/>
        <w:jc w:val="both"/>
      </w:pPr>
      <w:r>
        <w:rPr>
          <w:rFonts w:ascii="Arial" w:hAnsi="Arial" w:eastAsia="Arial" w:cs="Arial"/>
          <w:b w:val="0"/>
          <w:i w:val="0"/>
          <w:sz w:val="24"/>
        </w:rPr>
        <w:t>A primeira tem resposta observacional consolidada: entre 1992 e 2020 os dois mantos perderam cerca de 7.560 bilhões de toneladas de gelo, elevando o nível médio global em aproximadamente 21 mm, com a taxa de perda mais que triplicando ao longo do período (OTOSAKA et al., 2023).</w:t>
      </w:r>
    </w:p>
    <w:p>
      <w:pPr>
        <w:spacing w:before="0" w:after="120" w:line="360" w:lineRule="auto"/>
        <w:ind w:firstLine="709"/>
        <w:jc w:val="both"/>
      </w:pPr>
      <w:r>
        <w:rPr>
          <w:rFonts w:ascii="Arial" w:hAnsi="Arial" w:eastAsia="Arial" w:cs="Arial"/>
          <w:b w:val="0"/>
          <w:i w:val="0"/>
          <w:sz w:val="24"/>
        </w:rPr>
        <w:t xml:space="preserve">A segunda é menos conhecida e concentra o mal-entendido. A água liberada por um manto de gelo não se distribui uniformemente. A perda de massa reduz a atração gravitacional que o gelo exercia sobre a água vizinha, alivia o peso sobre a crosta, que sobe elasticamente, e desloca ligeiramente o eixo de rotação do planeta. O resultado é que, nas águas próximas à fonte,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chama-se impressão digital do nível do mar. O Brasil está no campo distante de ambas as calotas, mas quanto recebe a mais, e se esse fator varia ao longo do litoral, são questões que a literatura brasileira menciona qualitativamente sem quantificar.</w:t>
      </w:r>
    </w:p>
    <w:p>
      <w:pPr>
        <w:spacing w:before="0" w:after="120" w:line="360" w:lineRule="auto"/>
        <w:ind w:firstLine="709"/>
        <w:jc w:val="both"/>
      </w:pPr>
      <w:r>
        <w:rPr>
          <w:rFonts w:ascii="Arial" w:hAnsi="Arial" w:eastAsia="Arial" w:cs="Arial"/>
          <w:b w:val="0"/>
          <w:i w:val="0"/>
          <w:sz w:val="24"/>
        </w:rPr>
        <w:t xml:space="preserve">A terceira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a altura da água em relação a um marco fixado em terra. Se o terreno afunda, o aparelho registra elevação mesmo que o volume do oceano não mude. Sem medida independente do movimento vertical do terreno, a tendência observada não pode ser atribuída a causa alguma. O Painel Brasileiro de Mudanças Climáticas já apontava essa limitação, somada à escassez de séries contínuas no país (PBMC, 2016).</w:t>
      </w:r>
    </w:p>
    <w:p>
      <w:pPr>
        <w:spacing w:before="0" w:after="120" w:line="360" w:lineRule="auto"/>
        <w:ind w:firstLine="709"/>
        <w:jc w:val="both"/>
      </w:pPr>
      <w:r>
        <w:rPr>
          <w:rFonts w:ascii="Arial" w:hAnsi="Arial" w:eastAsia="Arial" w:cs="Arial"/>
          <w:b w:val="0"/>
          <w:i w:val="0"/>
          <w:sz w:val="24"/>
        </w:rPr>
        <w:t>Soma-se uma quarta lacuna, metodológica. A expectativa corrente é que técnicas de aprendizado de máquina aplicadas a séries históricas produzam projeções climáticas confiáveis. Revisões recentes recomendam, ao contrário, abordagens híbridas que combinem física e aprendizado para previsões regionais de longo prazo (AYINDE et al., 2024) — recomendação habitualmente aceita por autoridade, sem demonstração numérica de por que a abordagem puramente estatística falha.</w:t>
      </w:r>
    </w:p>
    <w:p>
      <w:pPr>
        <w:spacing w:before="0" w:after="120" w:line="360" w:lineRule="auto"/>
        <w:ind w:firstLine="709"/>
        <w:jc w:val="both"/>
      </w:pPr>
      <w:r>
        <w:rPr>
          <w:rFonts w:ascii="Arial" w:hAnsi="Arial" w:eastAsia="Arial" w:cs="Arial"/>
          <w:b w:val="0"/>
          <w:i w:val="0"/>
          <w:sz w:val="24"/>
        </w:rPr>
        <w:t>O objetivo deste trabalho é construir, validar e aplicar uma cadeia preditiva que responda às três primeiras perguntas de forma quantitativa para a costa brasileira e que submeta a quarta a teste experimental explícito. A contribuição pretendida não é mais uma projeção de elevação do mar, mas a decomposição dessa elevação, atribuindo a cada processo físico a parcela que lhe cabe em cada ponto do litoral, com demonstração, etapa por etapa, de que cada elo reproduz observações independentes.</w:t>
      </w:r>
    </w:p>
    <w:p>
      <w:pPr>
        <w:spacing w:before="360" w:after="200" w:line="360" w:lineRule="auto"/>
        <w:ind w:firstLine="0"/>
        <w:jc w:val="left"/>
      </w:pPr>
      <w:r>
        <w:rPr>
          <w:rFonts w:ascii="Arial" w:hAnsi="Arial" w:eastAsia="Arial" w:cs="Arial"/>
          <w:b/>
          <w:i w:val="0"/>
          <w:sz w:val="24"/>
        </w:rPr>
        <w:t>2 FUNDAMENTAÇÃO TEÓRICA</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e armazenamento de água continental; e a variação do volume ocupado por essa massa, a contribuição estérica, decorrente de expansão térmica e mudanças de salinidade (GREGORY et al., 2019). Verificar se a soma dessas contribuições iguala a elevação observada é o que se chama fechamento do orçamento do nível do mar, teste padrão de consistência física do conjunto de observações (WCRP GLOBAL SEA LEVEL BUDGET GROUP, 2018). Frederikse et al. (2020) reconstruíram esse orçamento desde 1900, disponibilizando séries globais e por bacia e campos espaciais de cada processo.</w:t>
      </w:r>
    </w:p>
    <w:p>
      <w:pPr>
        <w:spacing w:before="0" w:after="120" w:line="360" w:lineRule="auto"/>
        <w:ind w:firstLine="709"/>
        <w:jc w:val="both"/>
      </w:pPr>
      <w:r>
        <w:rPr>
          <w:rFonts w:ascii="Arial" w:hAnsi="Arial" w:eastAsia="Arial" w:cs="Arial"/>
          <w:b w:val="0"/>
          <w:i w:val="0"/>
          <w:sz w:val="24"/>
        </w:rPr>
        <w:t xml:space="preserve">A equação do nível do mar, resolvida para a perda de massa de um manto de gelo, produz um campo espacial característico: queda do nível relativo nas proximidades da fonte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 O trabalho mais próximo do presente é o de Roffman et al. (2023), que identificou, na costa sul-americana, amplificação de até 2,9 vezes o equivalente médio global em cenário de ganho de massa na Península Antártica.</w:t>
      </w:r>
    </w:p>
    <w:p>
      <w:pPr>
        <w:spacing w:before="0" w:after="120" w:line="360" w:lineRule="auto"/>
        <w:ind w:firstLine="709"/>
        <w:jc w:val="both"/>
      </w:pPr>
      <w:r>
        <w:rPr>
          <w:rFonts w:ascii="Arial" w:hAnsi="Arial" w:eastAsia="Arial" w:cs="Arial"/>
          <w:b w:val="0"/>
          <w:i w:val="0"/>
          <w:sz w:val="24"/>
        </w:rPr>
        <w:t>A tendência de nível relativo relaciona-se à tendência geocêntrica pela subtração da velocidade vertical do terreno, mensurável por posicionamento por satélite. O conjunto MIDAS do Nevada Geodetic Laboratory fornece estimativas robustas a degraus instrumentais para toda a rede GNSS global no referencial IGS14 (BLEWITT et al., 2016).</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w:t>
      </w:r>
    </w:p>
    <w:p>
      <w:pPr>
        <w:spacing w:before="0" w:after="120" w:line="360" w:lineRule="auto"/>
        <w:ind w:firstLine="709"/>
        <w:jc w:val="both"/>
      </w:pPr>
      <w:r>
        <w:rPr>
          <w:rFonts w:ascii="Arial" w:hAnsi="Arial" w:eastAsia="Arial" w:cs="Arial"/>
          <w:b w:val="0"/>
          <w:i w:val="0"/>
          <w:sz w:val="24"/>
        </w:rPr>
        <w:t xml:space="preserve">Sobre a costa, a elevação média atua por dois caminhos. O morfológico: pela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R = S/tanβ, em que tanβ é a declividade do perfil ativo; como esse inverso é tipicamente de 20 a 200, o recuo é uma a duas ordens de grandeza maior que a elevação. O modelo é objeto de crítica consolidada (COOPER; PILKEY, 2004) e deve ser lido como ordem de grandeza. O probabilístico: como a cauda da distribuição dos níveis extremos decai de forma aproximadamente exponencial, um deslocamento modesto do nível médio multiplica exponencialmente a frequência de excedência de um limiar fixo (VITOUSEK et al., 2017; TAHERKHANI et al., 2020).</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revelou que </w:t>
      </w:r>
      <w:r>
        <w:rPr>
          <w:rFonts w:ascii="Arial" w:hAnsi="Arial" w:eastAsia="Arial" w:cs="Arial"/>
          <w:b/>
          <w:i w:val="0"/>
          <w:sz w:val="24"/>
        </w:rPr>
        <w:t>nenhuma delas é brasileira</w:t>
      </w:r>
      <w:r>
        <w:rPr>
          <w:rFonts w:ascii="Arial" w:hAnsi="Arial" w:eastAsia="Arial" w:cs="Arial"/>
          <w:b w:val="0"/>
          <w:i w:val="0"/>
          <w:sz w:val="24"/>
        </w:rPr>
        <w:t>: no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este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O processamento foi implementado em Python; dados brutos, scripts e resultados intermediários estão organizados em repositório com registro de proveniência — URL, data de acesso e soma de verificação criptográfica — para cada arquivo.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 e controle de qualidade</w:t>
      </w:r>
    </w:p>
    <w:p>
      <w:pPr>
        <w:spacing w:before="0" w:after="120" w:line="360" w:lineRule="auto"/>
        <w:ind w:firstLine="709"/>
        <w:jc w:val="both"/>
      </w:pPr>
      <w:r>
        <w:rPr>
          <w:rFonts w:ascii="Arial" w:hAnsi="Arial" w:eastAsia="Arial" w:cs="Arial"/>
          <w:b w:val="0"/>
          <w:i w:val="0"/>
          <w:sz w:val="24"/>
        </w:rPr>
        <w:t>Utilizaram-se: séries maregráficas de doze estações brasileiras do PSMSL (HOLGATE et al., 2013) e séries horárias de qualidade de pesquisa do UHSLC (CALDWELL; MERRIFIELD; THOMPSON, 2015); balanço de massa dos dois mantos pelo IMBIE (OTOSAKA et al., 2023); orçamento global e campos espaciais de cada processo em grade de 0,5° (FREDERIKSE et al., 2020); altimetria por satélite (NOAA, 2026); temperatura global HadCRUT5 (MORICE et al., 2021); velocidades verticais de 20.168 estações GNSS (BLEWITT et al., 2016); e as projeções do IPCC AR6 decompostas por processo, cenário e percentil (GARNER et al., 2021).</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e de meses sinalizados; média anual apenas com anos de pelo menos dez meses válidos, para evitar viés sazonal; e exigência mínima de 30 anos válidos e 25 anos de extensão. Para as séries horárias exigiu-se cobertura de 70% das horas de cada mês e dez meses válidos por ano.</w:t>
      </w:r>
    </w:p>
    <w:p>
      <w:pPr>
        <w:spacing w:before="0" w:after="120" w:line="360" w:lineRule="auto"/>
        <w:ind w:firstLine="709"/>
        <w:jc w:val="both"/>
      </w:pPr>
      <w:r>
        <w:rPr>
          <w:rFonts w:ascii="Arial" w:hAnsi="Arial" w:eastAsia="Arial" w:cs="Arial"/>
          <w:b w:val="0"/>
          <w:i w:val="0"/>
          <w:sz w:val="24"/>
        </w:rPr>
        <w:t>Como os resíduos de séries anuais de nível do mar são fortemente autocorrelacionados, o que faz o erro padrão dos mínimos quadrados subestimar a incerteza real, toda tendência foi estimada por três caminhos: mínimos quadrados com erro padrão robusto de Newey e West (1987), estimador de Theil-Sen e reamostragem por blocos móveis.</w:t>
      </w:r>
    </w:p>
    <w:p>
      <w:pPr>
        <w:spacing w:before="240" w:after="160" w:line="360" w:lineRule="auto"/>
        <w:ind w:firstLine="0"/>
        <w:jc w:val="left"/>
      </w:pPr>
      <w:r>
        <w:rPr>
          <w:rFonts w:ascii="Arial" w:hAnsi="Arial" w:eastAsia="Arial" w:cs="Arial"/>
          <w:b/>
          <w:i w:val="0"/>
          <w:sz w:val="24"/>
        </w:rPr>
        <w:t>3.2 Impressões digitais e cadeia de projeção local</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de cada processo baristático, como a razão entre a tendência local e a tendência da média global ponderada pelo cosseno da latitude, no mesmo período em que o fator seria aplicado. Calcularam-se fatores em onze estações, em um transecto contínuo de 28 pontos ao longo do litoral de 4,4° N a 34° S, e em sete pontos de contraste fora do Brasil destinados a verificar a física do campo próximo.</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ao qual a impressão digital gravitacional não se aplica, δ(x) foi obtido da razão entre a projeção de dinâmica oceânica do IPCC AR6 na estação e a global, por representar a resposta forçada; a razão estérica histórica foi calculada e descartada, por refletir variabilidade dinâmica decadal e não resposta ao forçamento.</w:t>
      </w:r>
    </w:p>
    <w:p>
      <w:pPr>
        <w:spacing w:before="240" w:after="160" w:line="360" w:lineRule="auto"/>
        <w:ind w:firstLine="0"/>
        <w:jc w:val="left"/>
      </w:pPr>
      <w:r>
        <w:rPr>
          <w:rFonts w:ascii="Arial" w:hAnsi="Arial" w:eastAsia="Arial" w:cs="Arial"/>
          <w:b/>
          <w:i w:val="0"/>
          <w:sz w:val="24"/>
        </w:rPr>
        <w:t>3.3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testando quatro formas funcionais: linear, linear com termo de taxa, potência e quadrática. Impuseram-se restrições de monotonicidade — coeficiente principal não negativo, expoente maior ou igual a um, curvatura não negativa — de modo que mais aquecimento jamais produza menos perda de massa. A restrição não é detalhe técnico: sem ela, o ajuste seleciona uma parábola de curvatura negativa que reproduz bem o passado e se inverte na extrapolação, modo de falha efetivamente observado durante o desenvolvimento.</w:t>
      </w:r>
    </w:p>
    <w:p>
      <w:pPr>
        <w:spacing w:before="0" w:after="120" w:line="360" w:lineRule="auto"/>
        <w:ind w:firstLine="709"/>
        <w:jc w:val="both"/>
      </w:pPr>
      <w:r>
        <w:rPr>
          <w:rFonts w:ascii="Arial" w:hAnsi="Arial" w:eastAsia="Arial" w:cs="Arial"/>
          <w:b w:val="0"/>
          <w:i w:val="0"/>
          <w:sz w:val="24"/>
        </w:rPr>
        <w:t>A forma funcional e a janela de suavização do forçante foram escolhidas por validação cruzada de origem móvel aninhada, usando apenas anos anteriores a 1990, com regra de parcimônia: entre as combinações cujo erro está a menos de 5% do melhor, adota-se a de menor número de parâmetros. A aplicação da regra foi decisiva: doze combinações mostraram-se estatisticamente indistinguíveis para os mantos de gelo, e a seleção pela mais flexível produzia projeção de 9 mm/ano a 4,4 K de aquecimento, uma ordem de grandeza acima de qualquer estimativa publicada. A forma selecionada foi a linear de Rahmstorf (2007) para os três componentes de massa; para o termo estérico a validação selecionou a forma de potência, cujo expoente ajustado convergiu para o limite inferior do intervalo admitido (q = 1,00), de modo que ela também se reduz, na prática, à forma linear.</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3.4 Impactos costeiros e protocolo de validação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em cinco limiares; a taxa de excedência é definida sobre valores horários. O recuo da linha de costa foi estimado pela regra de Bruun sobre quatro declividades representativas.</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e impressões digitais</w:t>
      </w:r>
    </w:p>
    <w:p>
      <w:pPr>
        <w:spacing w:before="0" w:after="120" w:line="360" w:lineRule="auto"/>
        <w:ind w:firstLine="709"/>
        <w:jc w:val="both"/>
      </w:pPr>
      <w:r>
        <w:rPr>
          <w:rFonts w:ascii="Arial" w:hAnsi="Arial" w:eastAsia="Arial" w:cs="Arial"/>
          <w:b w:val="0"/>
          <w:i w:val="0"/>
          <w:sz w:val="24"/>
        </w:rPr>
        <w:t>Das doze estações brasileiras do PSMSL, apenas duas satisfazem os critérios de qualidade: Cananéia (1954–2004, 51 anos válidos) e Ilha Fiscal (1963–2022, 55 anos válidos). As demais têm séries de 1 a 20 anos, em geral encerradas na década de 1960. A verificação das séries horárias confirmou o quadro: embora os metadados indiquem extensão até 2023 em Fortaleza, a cobertura efetiva é de 13 anos. A escassez de séries longas no litoral brasileiro é, portanto, um resultado verificado e não apenas uma observação qualitativa.</w:t>
      </w:r>
    </w:p>
    <w:p>
      <w:pPr>
        <w:spacing w:before="0" w:after="120" w:line="360" w:lineRule="auto"/>
        <w:ind w:firstLine="709"/>
        <w:jc w:val="both"/>
      </w:pPr>
      <w:r>
        <w:rPr>
          <w:rFonts w:ascii="Arial" w:hAnsi="Arial" w:eastAsia="Arial" w:cs="Arial"/>
          <w:b w:val="0"/>
          <w:i w:val="0"/>
          <w:sz w:val="24"/>
        </w:rPr>
        <w:t>A validação V1 confere: as cinco tendências baristáticas globais reproduzidas a partir dos campos espaciais coincidem com os valores publicados dentro da incerteza declarada, com diferença máxima de 0,024 mm/ano (Groenlândia 0,626 contra 0,65 ± 0,04; Antártica 0,302 contra 0,29 ± 0,08; geleiras 0,646 contra 0,65 ± 0,09; água continental 0,312 contra 0,32 ± 0,17 mm/ano).</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(r = −0,98 com a latitude; a única inversão, de 1,263 para 1,257 entre 22,9° S e 23,5° S, é de 0,5%), enquanto o da Antártica decresce de 1,15 para 0,68 (r = +0,93). Os gradientes têm sinal oposto por descreverem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Quantitativamente, cada milímetro de elevação média global causado pelo degelo polar produz cerca de 1,12 mm na costa brasileira — amplificação de 12% que as projeções baseadas na média global não contabilizam. Operacionalmente, como o fator é praticamente uniforme, uma única constante de amplificação serve a todo o litoral.</w:t>
      </w:r>
    </w:p>
    <w:p>
      <w:pPr>
        <w:spacing w:before="0" w:after="120" w:line="360" w:lineRule="auto"/>
        <w:ind w:firstLine="709"/>
        <w:jc w:val="both"/>
      </w:pPr>
      <w:r>
        <w:rPr>
          <w:rFonts w:ascii="Arial" w:hAnsi="Arial" w:eastAsia="Arial" w:cs="Arial"/>
          <w:b w:val="0"/>
          <w:i w:val="0"/>
          <w:sz w:val="24"/>
        </w:rPr>
        <w:t xml:space="preserve">Os pontos de contraste confirmam a física: em Nuuk, o fator do próprio manto groenlandês é −7,49; no Mar de Amundsen, o fator antártico é −10,08. Nas águas que banham a fonte do degelo o nível relativo </w:t>
      </w:r>
      <w:r>
        <w:rPr>
          <w:rFonts w:ascii="Arial" w:hAnsi="Arial" w:eastAsia="Arial" w:cs="Arial"/>
          <w:b/>
          <w:i w:val="0"/>
          <w:sz w:val="24"/>
        </w:rPr>
        <w:t>cai</w:t>
      </w:r>
      <w:r>
        <w:rPr>
          <w:rFonts w:ascii="Arial" w:hAnsi="Arial" w:eastAsia="Arial" w:cs="Arial"/>
          <w:b w:val="0"/>
          <w:i w:val="0"/>
          <w:sz w:val="24"/>
        </w:rPr>
        <w:t>, porque a perda de atração gravitacional e o rebote elástico superam o acréscimo de volume. No campo distante, onde está o Brasil, encontra-se o excedente.</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4.2 O orçamento fecha, e onde não fecha isso é informativo</w:t>
      </w:r>
    </w:p>
    <w:p>
      <w:pPr>
        <w:spacing w:before="0" w:after="120" w:line="360" w:lineRule="auto"/>
        <w:ind w:firstLine="709"/>
        <w:jc w:val="both"/>
      </w:pPr>
      <w:r>
        <w:rPr>
          <w:rFonts w:ascii="Arial" w:hAnsi="Arial" w:eastAsia="Arial" w:cs="Arial"/>
          <w:b w:val="0"/>
          <w:i w:val="0"/>
          <w:sz w:val="24"/>
        </w:rPr>
        <w:t>Em escala global o orçamento fecha em todos os períodos: de 1900 a 2018, a soma dos contribuintes é 1,524 mm/ano contra 1,563 observados (resíduo de 0,039); de 1993 a 2018, 3,159 contra 3,353 mm/ano. Os mantos de gelo respondem por 33,3% da elevação global no período longo e 29,1% na era altimétrica; no Atlântico Sul, por 28,9%. A Tabela 1 apresenta o teste em escala local.</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em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709"/>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 R² de 0,734 contra 0,235 na Ilha Fiscal, intervalo estreito, nenhum sinal de problema nos diagnósticos de regressão — e, ainda assim, o teste de fechamento a rejeita: a tendência observada excede em 3,3 mm/ano tudo o que os processos físicos conhecidos explicam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excelente sobre dados fisicamente inconsistentes continua sendo um ajuste sobre dados inconsistentes.</w:t>
      </w:r>
    </w:p>
    <w:p>
      <w:pPr>
        <w:spacing w:before="0" w:after="120" w:line="360" w:lineRule="auto"/>
        <w:ind w:firstLine="709"/>
        <w:jc w:val="both"/>
      </w:pPr>
      <w:r>
        <w:rPr>
          <w:rFonts w:ascii="Arial" w:hAnsi="Arial" w:eastAsia="Arial" w:cs="Arial"/>
          <w:b w:val="0"/>
          <w:i w:val="0"/>
          <w:sz w:val="24"/>
        </w:rPr>
        <w:t>Registre-se ainda que, na Ilha Fiscal, a correção de Newey-West infla o erro padrão da tendência em 1,68 vez, com autocorrelação de resíduos de 0,68: intervalos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4.3 Por que não basta aplicar aprendizado de máquina à série local</w:t>
      </w:r>
    </w:p>
    <w:p>
      <w:pPr>
        <w:spacing w:before="0" w:after="120" w:line="360" w:lineRule="auto"/>
        <w:ind w:firstLine="709"/>
        <w:jc w:val="both"/>
      </w:pPr>
      <w:r>
        <w:rPr>
          <w:rFonts w:ascii="Arial" w:hAnsi="Arial" w:eastAsia="Arial" w:cs="Arial"/>
          <w:b w:val="0"/>
          <w:i w:val="0"/>
          <w:sz w:val="24"/>
        </w:rPr>
        <w:t xml:space="preserve">Quinze algoritmos preditivos foram submetidos a validação cruzada de origem móvel, com horizontes de 1 a 20 anos, sobre as duas séries anuais brasileiras que satisfazem os critérios de qualidade (Tabela 2, Figura 4). O teste foi replicado nas duas estações justamente para distinguir o que é propriedade do problema do que é peculiaridade de um registro —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estação, o que se revelou mais informativo do que a confirmação teria sido.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Erro quadrático médio fora da amostra no horizonte de 20 anos (mm).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Algoritmo</w:t>
            </w:r>
          </w:p>
        </w:tc>
        <w:tc>
          <w:tcPr>
            <w:tcW w:type="dxa" w:w="3024"/>
            <w:shd w:val="clear" w:color="auto" w:fill="EFEFEC"/>
          </w:tcPr>
          <w:p>
            <w:pPr>
              <w:spacing w:before="20" w:after="20" w:line="240" w:lineRule="auto"/>
              <w:jc w:val="center"/>
            </w:pPr>
            <w:r/>
            <w:r>
              <w:rPr>
                <w:rFonts w:ascii="Arial" w:hAnsi="Arial" w:eastAsia="Arial" w:cs="Arial"/>
                <w:b/>
                <w:i w:val="0"/>
                <w:sz w:val="18"/>
              </w:rPr>
              <w:t>Ilha Fiscal (RJ)</w:t>
            </w:r>
          </w:p>
        </w:tc>
        <w:tc>
          <w:tcPr>
            <w:tcW w:type="dxa" w:w="3024"/>
            <w:shd w:val="clear" w:color="auto" w:fill="EFEFEC"/>
          </w:tcPr>
          <w:p>
            <w:pPr>
              <w:spacing w:before="20" w:after="20" w:line="240" w:lineRule="auto"/>
              <w:jc w:val="center"/>
            </w:pPr>
            <w:r/>
            <w:r>
              <w:rPr>
                <w:rFonts w:ascii="Arial" w:hAnsi="Arial" w:eastAsia="Arial" w:cs="Arial"/>
                <w:b/>
                <w:i w:val="0"/>
                <w:sz w:val="18"/>
              </w:rPr>
              <w:t>Cananéia (SP)</w:t>
            </w:r>
          </w:p>
        </w:tc>
      </w:tr>
      <w:tr>
        <w:tc>
          <w:tcPr>
            <w:tcW w:type="dxa" w:w="3024"/>
          </w:tcPr>
          <w:p>
            <w:pPr>
              <w:spacing w:before="20" w:after="20" w:line="240" w:lineRule="auto"/>
              <w:jc w:val="left"/>
            </w:pPr>
            <w:r/>
            <w:r>
              <w:rPr>
                <w:rFonts w:ascii="Arial" w:hAnsi="Arial" w:eastAsia="Arial" w:cs="Arial"/>
                <w:b w:val="0"/>
                <w:i w:val="0"/>
                <w:sz w:val="18"/>
              </w:rPr>
              <w:t>Theil-Sen</w:t>
            </w:r>
          </w:p>
        </w:tc>
        <w:tc>
          <w:tcPr>
            <w:tcW w:type="dxa" w:w="3024"/>
          </w:tcPr>
          <w:p>
            <w:pPr>
              <w:spacing w:before="20" w:after="20" w:line="240" w:lineRule="auto"/>
              <w:jc w:val="center"/>
            </w:pPr>
            <w:r/>
            <w:r>
              <w:rPr>
                <w:rFonts w:ascii="Arial" w:hAnsi="Arial" w:eastAsia="Arial" w:cs="Arial"/>
                <w:b w:val="0"/>
                <w:i w:val="0"/>
                <w:sz w:val="18"/>
              </w:rPr>
              <w:t>147,8</w:t>
            </w:r>
          </w:p>
        </w:tc>
        <w:tc>
          <w:tcPr>
            <w:tcW w:type="dxa" w:w="3024"/>
          </w:tcPr>
          <w:p>
            <w:pPr>
              <w:spacing w:before="20" w:after="20" w:line="240" w:lineRule="auto"/>
              <w:jc w:val="center"/>
            </w:pPr>
            <w:r/>
            <w:r>
              <w:rPr>
                <w:rFonts w:ascii="Arial" w:hAnsi="Arial" w:eastAsia="Arial" w:cs="Arial"/>
                <w:b/>
                <w:i w:val="0"/>
                <w:sz w:val="18"/>
              </w:rPr>
              <w:t>39,6</w:t>
            </w:r>
          </w:p>
        </w:tc>
      </w:tr>
      <w:tr>
        <w:tc>
          <w:tcPr>
            <w:tcW w:type="dxa" w:w="3024"/>
          </w:tcPr>
          <w:p>
            <w:pPr>
              <w:spacing w:before="20" w:after="20" w:line="240" w:lineRule="auto"/>
              <w:jc w:val="left"/>
            </w:pPr>
            <w:r/>
            <w:r>
              <w:rPr>
                <w:rFonts w:ascii="Arial" w:hAnsi="Arial" w:eastAsia="Arial" w:cs="Arial"/>
                <w:b w:val="0"/>
                <w:i w:val="0"/>
                <w:sz w:val="18"/>
              </w:rPr>
              <w:t>OLS linear</w:t>
            </w:r>
          </w:p>
        </w:tc>
        <w:tc>
          <w:tcPr>
            <w:tcW w:type="dxa" w:w="3024"/>
          </w:tcPr>
          <w:p>
            <w:pPr>
              <w:spacing w:before="20" w:after="20" w:line="240" w:lineRule="auto"/>
              <w:jc w:val="center"/>
            </w:pPr>
            <w:r/>
            <w:r>
              <w:rPr>
                <w:rFonts w:ascii="Arial" w:hAnsi="Arial" w:eastAsia="Arial" w:cs="Arial"/>
                <w:b w:val="0"/>
                <w:i w:val="0"/>
                <w:sz w:val="18"/>
              </w:rPr>
              <w:t>116,7</w:t>
            </w:r>
          </w:p>
        </w:tc>
        <w:tc>
          <w:tcPr>
            <w:tcW w:type="dxa" w:w="3024"/>
          </w:tcPr>
          <w:p>
            <w:pPr>
              <w:spacing w:before="20" w:after="20" w:line="240" w:lineRule="auto"/>
              <w:jc w:val="center"/>
            </w:pPr>
            <w:r/>
            <w:r>
              <w:rPr>
                <w:rFonts w:ascii="Arial" w:hAnsi="Arial" w:eastAsia="Arial" w:cs="Arial"/>
                <w:b w:val="0"/>
                <w:i w:val="0"/>
                <w:sz w:val="18"/>
              </w:rPr>
              <w:t>46,5</w:t>
            </w:r>
          </w:p>
        </w:tc>
      </w:tr>
      <w:tr>
        <w:tc>
          <w:tcPr>
            <w:tcW w:type="dxa" w:w="3024"/>
          </w:tcPr>
          <w:p>
            <w:pPr>
              <w:spacing w:before="20" w:after="20" w:line="240" w:lineRule="auto"/>
              <w:jc w:val="left"/>
            </w:pPr>
            <w:r/>
            <w:r>
              <w:rPr>
                <w:rFonts w:ascii="Arial" w:hAnsi="Arial" w:eastAsia="Arial" w:cs="Arial"/>
                <w:b w:val="0"/>
                <w:i w:val="0"/>
                <w:sz w:val="18"/>
              </w:rPr>
              <w:t>ARIMA(1,1,1)</w:t>
            </w:r>
          </w:p>
        </w:tc>
        <w:tc>
          <w:tcPr>
            <w:tcW w:type="dxa" w:w="3024"/>
          </w:tcPr>
          <w:p>
            <w:pPr>
              <w:spacing w:before="20" w:after="20" w:line="240" w:lineRule="auto"/>
              <w:jc w:val="center"/>
            </w:pPr>
            <w:r/>
            <w:r>
              <w:rPr>
                <w:rFonts w:ascii="Arial" w:hAnsi="Arial" w:eastAsia="Arial" w:cs="Arial"/>
                <w:b w:val="0"/>
                <w:i w:val="0"/>
                <w:sz w:val="18"/>
              </w:rPr>
              <w:t>103,5</w:t>
            </w:r>
          </w:p>
        </w:tc>
        <w:tc>
          <w:tcPr>
            <w:tcW w:type="dxa" w:w="3024"/>
          </w:tcPr>
          <w:p>
            <w:pPr>
              <w:spacing w:before="20" w:after="20" w:line="240" w:lineRule="auto"/>
              <w:jc w:val="center"/>
            </w:pPr>
            <w:r/>
            <w:r>
              <w:rPr>
                <w:rFonts w:ascii="Arial" w:hAnsi="Arial" w:eastAsia="Arial" w:cs="Arial"/>
                <w:b w:val="0"/>
                <w:i w:val="0"/>
                <w:sz w:val="18"/>
              </w:rPr>
              <w:t>49,7</w:t>
            </w:r>
          </w:p>
        </w:tc>
      </w:tr>
      <w:tr>
        <w:tc>
          <w:tcPr>
            <w:tcW w:type="dxa" w:w="3024"/>
          </w:tcPr>
          <w:p>
            <w:pPr>
              <w:spacing w:before="20" w:after="20" w:line="240" w:lineRule="auto"/>
              <w:jc w:val="left"/>
            </w:pPr>
            <w:r/>
            <w:r>
              <w:rPr>
                <w:rFonts w:ascii="Arial" w:hAnsi="Arial" w:eastAsia="Arial" w:cs="Arial"/>
                <w:b w:val="0"/>
                <w:i w:val="0"/>
                <w:sz w:val="18"/>
              </w:rPr>
              <w:t>Gradient boosting</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Árvores extremas</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Floresta aleatória</w:t>
            </w:r>
          </w:p>
        </w:tc>
        <w:tc>
          <w:tcPr>
            <w:tcW w:type="dxa" w:w="3024"/>
          </w:tcPr>
          <w:p>
            <w:pPr>
              <w:spacing w:before="20" w:after="20" w:line="240" w:lineRule="auto"/>
              <w:jc w:val="center"/>
            </w:pPr>
            <w:r/>
            <w:r>
              <w:rPr>
                <w:rFonts w:ascii="Arial" w:hAnsi="Arial" w:eastAsia="Arial" w:cs="Arial"/>
                <w:b w:val="0"/>
                <w:i w:val="0"/>
                <w:sz w:val="18"/>
              </w:rPr>
              <w:t>94,9</w:t>
            </w:r>
          </w:p>
        </w:tc>
        <w:tc>
          <w:tcPr>
            <w:tcW w:type="dxa" w:w="3024"/>
          </w:tcPr>
          <w:p>
            <w:pPr>
              <w:spacing w:before="20" w:after="20" w:line="240" w:lineRule="auto"/>
              <w:jc w:val="center"/>
            </w:pPr>
            <w:r/>
            <w:r>
              <w:rPr>
                <w:rFonts w:ascii="Arial" w:hAnsi="Arial" w:eastAsia="Arial" w:cs="Arial"/>
                <w:b w:val="0"/>
                <w:i w:val="0"/>
                <w:sz w:val="18"/>
              </w:rPr>
              <w:t>52,7</w:t>
            </w:r>
          </w:p>
        </w:tc>
      </w:tr>
      <w:tr>
        <w:tc>
          <w:tcPr>
            <w:tcW w:type="dxa" w:w="3024"/>
          </w:tcPr>
          <w:p>
            <w:pPr>
              <w:spacing w:before="20" w:after="20" w:line="240" w:lineRule="auto"/>
              <w:jc w:val="left"/>
            </w:pPr>
            <w:r/>
            <w:r>
              <w:rPr>
                <w:rFonts w:ascii="Arial" w:hAnsi="Arial" w:eastAsia="Arial" w:cs="Arial"/>
                <w:b w:val="0"/>
                <w:i w:val="0"/>
                <w:sz w:val="18"/>
              </w:rPr>
              <w:t>Processo gaussiano</w:t>
            </w:r>
          </w:p>
        </w:tc>
        <w:tc>
          <w:tcPr>
            <w:tcW w:type="dxa" w:w="3024"/>
          </w:tcPr>
          <w:p>
            <w:pPr>
              <w:spacing w:before="20" w:after="20" w:line="240" w:lineRule="auto"/>
              <w:jc w:val="center"/>
            </w:pPr>
            <w:r/>
            <w:r>
              <w:rPr>
                <w:rFonts w:ascii="Arial" w:hAnsi="Arial" w:eastAsia="Arial" w:cs="Arial"/>
                <w:b/>
                <w:i w:val="0"/>
                <w:sz w:val="18"/>
              </w:rPr>
              <w:t>91,1</w:t>
            </w:r>
          </w:p>
        </w:tc>
        <w:tc>
          <w:tcPr>
            <w:tcW w:type="dxa" w:w="3024"/>
          </w:tcPr>
          <w:p>
            <w:pPr>
              <w:spacing w:before="20" w:after="20" w:line="240" w:lineRule="auto"/>
              <w:jc w:val="center"/>
            </w:pPr>
            <w:r/>
            <w:r>
              <w:rPr>
                <w:rFonts w:ascii="Arial" w:hAnsi="Arial" w:eastAsia="Arial" w:cs="Arial"/>
                <w:b w:val="0"/>
                <w:i w:val="0"/>
                <w:sz w:val="18"/>
              </w:rPr>
              <w:t>83,9</w:t>
            </w:r>
          </w:p>
        </w:tc>
      </w:tr>
      <w:tr>
        <w:tc>
          <w:tcPr>
            <w:tcW w:type="dxa" w:w="3024"/>
          </w:tcPr>
          <w:p>
            <w:pPr>
              <w:spacing w:before="20" w:after="20" w:line="240" w:lineRule="auto"/>
              <w:jc w:val="left"/>
            </w:pPr>
            <w:r/>
            <w:r>
              <w:rPr>
                <w:rFonts w:ascii="Arial" w:hAnsi="Arial" w:eastAsia="Arial" w:cs="Arial"/>
                <w:b w:val="0"/>
                <w:i w:val="0"/>
                <w:sz w:val="18"/>
              </w:rPr>
              <w:t>k-vizinhos (k = 5)</w:t>
            </w:r>
          </w:p>
        </w:tc>
        <w:tc>
          <w:tcPr>
            <w:tcW w:type="dxa" w:w="3024"/>
          </w:tcPr>
          <w:p>
            <w:pPr>
              <w:spacing w:before="20" w:after="20" w:line="240" w:lineRule="auto"/>
              <w:jc w:val="center"/>
            </w:pPr>
            <w:r/>
            <w:r>
              <w:rPr>
                <w:rFonts w:ascii="Arial" w:hAnsi="Arial" w:eastAsia="Arial" w:cs="Arial"/>
                <w:b w:val="0"/>
                <w:i w:val="0"/>
                <w:sz w:val="18"/>
              </w:rPr>
              <w:t>93,2</w:t>
            </w:r>
          </w:p>
        </w:tc>
        <w:tc>
          <w:tcPr>
            <w:tcW w:type="dxa" w:w="3024"/>
          </w:tcPr>
          <w:p>
            <w:pPr>
              <w:spacing w:before="20" w:after="20" w:line="240" w:lineRule="auto"/>
              <w:jc w:val="center"/>
            </w:pPr>
            <w:r/>
            <w:r>
              <w:rPr>
                <w:rFonts w:ascii="Arial" w:hAnsi="Arial" w:eastAsia="Arial" w:cs="Arial"/>
                <w:b w:val="0"/>
                <w:i w:val="0"/>
                <w:sz w:val="18"/>
              </w:rPr>
              <w:t>61,6</w:t>
            </w:r>
          </w:p>
        </w:tc>
      </w:tr>
      <w:tr>
        <w:tc>
          <w:tcPr>
            <w:tcW w:type="dxa" w:w="3024"/>
          </w:tcPr>
          <w:p>
            <w:pPr>
              <w:spacing w:before="20" w:after="20" w:line="240" w:lineRule="auto"/>
              <w:jc w:val="left"/>
            </w:pPr>
            <w:r/>
            <w:r>
              <w:rPr>
                <w:rFonts w:ascii="Arial" w:hAnsi="Arial" w:eastAsia="Arial" w:cs="Arial"/>
                <w:b/>
                <w:i w:val="0"/>
                <w:sz w:val="18"/>
              </w:rPr>
              <w:t>Média do treino (linha de base trivial)</w:t>
            </w:r>
          </w:p>
        </w:tc>
        <w:tc>
          <w:tcPr>
            <w:tcW w:type="dxa" w:w="3024"/>
          </w:tcPr>
          <w:p>
            <w:pPr>
              <w:spacing w:before="20" w:after="20" w:line="240" w:lineRule="auto"/>
              <w:jc w:val="center"/>
            </w:pPr>
            <w:r/>
            <w:r>
              <w:rPr>
                <w:rFonts w:ascii="Arial" w:hAnsi="Arial" w:eastAsia="Arial" w:cs="Arial"/>
                <w:b/>
                <w:i w:val="0"/>
                <w:sz w:val="18"/>
              </w:rPr>
              <w:t>93,8</w:t>
            </w:r>
          </w:p>
        </w:tc>
        <w:tc>
          <w:tcPr>
            <w:tcW w:type="dxa" w:w="3024"/>
          </w:tcPr>
          <w:p>
            <w:pPr>
              <w:spacing w:before="20" w:after="20" w:line="240" w:lineRule="auto"/>
              <w:jc w:val="center"/>
            </w:pPr>
            <w:r/>
            <w:r>
              <w:rPr>
                <w:rFonts w:ascii="Arial" w:hAnsi="Arial" w:eastAsia="Arial" w:cs="Arial"/>
                <w:b/>
                <w:i w:val="0"/>
                <w:sz w:val="18"/>
              </w:rPr>
              <w:t>113,8</w:t>
            </w:r>
          </w:p>
        </w:tc>
      </w:tr>
      <w:tr>
        <w:tc>
          <w:tcPr>
            <w:tcW w:type="dxa" w:w="3024"/>
          </w:tcPr>
          <w:p>
            <w:pPr>
              <w:spacing w:before="20" w:after="20" w:line="240" w:lineRule="auto"/>
              <w:jc w:val="left"/>
            </w:pPr>
            <w:r/>
            <w:r>
              <w:rPr>
                <w:rFonts w:ascii="Arial" w:hAnsi="Arial" w:eastAsia="Arial" w:cs="Arial"/>
                <w:b w:val="0"/>
                <w:i w:val="0"/>
                <w:sz w:val="18"/>
              </w:rPr>
              <w:t>Rede neural (MLP)</w:t>
            </w:r>
          </w:p>
        </w:tc>
        <w:tc>
          <w:tcPr>
            <w:tcW w:type="dxa" w:w="3024"/>
          </w:tcPr>
          <w:p>
            <w:pPr>
              <w:spacing w:before="20" w:after="20" w:line="240" w:lineRule="auto"/>
              <w:jc w:val="center"/>
            </w:pPr>
            <w:r/>
            <w:r>
              <w:rPr>
                <w:rFonts w:ascii="Arial" w:hAnsi="Arial" w:eastAsia="Arial" w:cs="Arial"/>
                <w:b w:val="0"/>
                <w:i w:val="0"/>
                <w:sz w:val="18"/>
              </w:rPr>
              <w:t>1.918,6</w:t>
            </w:r>
          </w:p>
        </w:tc>
        <w:tc>
          <w:tcPr>
            <w:tcW w:type="dxa" w:w="3024"/>
          </w:tcPr>
          <w:p>
            <w:pPr>
              <w:spacing w:before="20" w:after="20" w:line="240" w:lineRule="auto"/>
              <w:jc w:val="center"/>
            </w:pPr>
            <w:r/>
            <w:r>
              <w:rPr>
                <w:rFonts w:ascii="Arial" w:hAnsi="Arial" w:eastAsia="Arial" w:cs="Arial"/>
                <w:b w:val="0"/>
                <w:i w:val="0"/>
                <w:sz w:val="18"/>
              </w:rPr>
              <w:t>2.125,4</w:t>
            </w:r>
          </w:p>
        </w:tc>
      </w:tr>
      <w:tr>
        <w:tc>
          <w:tcPr>
            <w:tcW w:type="dxa" w:w="3024"/>
          </w:tcPr>
          <w:p>
            <w:pPr>
              <w:spacing w:before="20" w:after="20" w:line="240" w:lineRule="auto"/>
              <w:jc w:val="left"/>
            </w:pPr>
            <w:r/>
            <w:r>
              <w:rPr>
                <w:rFonts w:ascii="Arial" w:hAnsi="Arial" w:eastAsia="Arial" w:cs="Arial"/>
                <w:b w:val="0"/>
                <w:i/>
                <w:sz w:val="18"/>
              </w:rPr>
              <w:t>Algoritmos piores que a linha de base</w:t>
            </w:r>
          </w:p>
        </w:tc>
        <w:tc>
          <w:tcPr>
            <w:tcW w:type="dxa" w:w="3024"/>
          </w:tcPr>
          <w:p>
            <w:pPr>
              <w:spacing w:before="20" w:after="20" w:line="240" w:lineRule="auto"/>
              <w:jc w:val="center"/>
            </w:pPr>
            <w:r/>
            <w:r>
              <w:rPr>
                <w:rFonts w:ascii="Arial" w:hAnsi="Arial" w:eastAsia="Arial" w:cs="Arial"/>
                <w:b w:val="0"/>
                <w:i/>
                <w:sz w:val="18"/>
              </w:rPr>
              <w:t>12 de 15</w:t>
            </w:r>
          </w:p>
        </w:tc>
        <w:tc>
          <w:tcPr>
            <w:tcW w:type="dxa" w:w="3024"/>
          </w:tcPr>
          <w:p>
            <w:pPr>
              <w:spacing w:before="20" w:after="20" w:line="240" w:lineRule="auto"/>
              <w:jc w:val="center"/>
            </w:pPr>
            <w:r/>
            <w:r>
              <w:rPr>
                <w:rFonts w:ascii="Arial" w:hAnsi="Arial" w:eastAsia="Arial" w:cs="Arial"/>
                <w:b w:val="0"/>
                <w:i/>
                <w:sz w:val="18"/>
              </w:rPr>
              <w:t>2 de 15</w:t>
            </w:r>
          </w:p>
        </w:tc>
      </w:tr>
      <w:tr>
        <w:tc>
          <w:tcPr>
            <w:tcW w:type="dxa" w:w="3024"/>
          </w:tcPr>
          <w:p>
            <w:pPr>
              <w:spacing w:before="20" w:after="20" w:line="240" w:lineRule="auto"/>
              <w:jc w:val="left"/>
            </w:pPr>
            <w:r/>
            <w:r>
              <w:rPr>
                <w:rFonts w:ascii="Arial" w:hAnsi="Arial" w:eastAsia="Arial" w:cs="Arial"/>
                <w:b w:val="0"/>
                <w:i/>
                <w:sz w:val="18"/>
              </w:rPr>
              <w:t>Ganho do melhor sobre a linha de base</w:t>
            </w:r>
          </w:p>
        </w:tc>
        <w:tc>
          <w:tcPr>
            <w:tcW w:type="dxa" w:w="3024"/>
          </w:tcPr>
          <w:p>
            <w:pPr>
              <w:spacing w:before="20" w:after="20" w:line="240" w:lineRule="auto"/>
              <w:jc w:val="center"/>
            </w:pPr>
            <w:r/>
            <w:r>
              <w:rPr>
                <w:rFonts w:ascii="Arial" w:hAnsi="Arial" w:eastAsia="Arial" w:cs="Arial"/>
                <w:b w:val="0"/>
                <w:i/>
                <w:sz w:val="18"/>
              </w:rPr>
              <w:t>3%</w:t>
            </w:r>
          </w:p>
        </w:tc>
        <w:tc>
          <w:tcPr>
            <w:tcW w:type="dxa" w:w="3024"/>
          </w:tcPr>
          <w:p>
            <w:pPr>
              <w:spacing w:before="20" w:after="20" w:line="240" w:lineRule="auto"/>
              <w:jc w:val="center"/>
            </w:pPr>
            <w:r/>
            <w:r>
              <w:rPr>
                <w:rFonts w:ascii="Arial" w:hAnsi="Arial" w:eastAsia="Arial" w:cs="Arial"/>
                <w:b w:val="0"/>
                <w:i/>
                <w:sz w:val="18"/>
              </w:rPr>
              <w:t>65%</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supera essa linha de base trivial em apenas 3%. Em Cananéia, apenas dois são piores e o melhor supera em 65%.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 ventos, pressão atmosférica, El Niño —, nenhum aprende.</w:t>
      </w:r>
    </w:p>
    <w:p>
      <w:pPr>
        <w:spacing w:before="0" w:after="120" w:line="360" w:lineRule="auto"/>
        <w:ind w:firstLine="709"/>
        <w:jc w:val="both"/>
      </w:pPr>
      <w:r>
        <w:rPr>
          <w:rFonts w:ascii="Arial" w:hAnsi="Arial" w:eastAsia="Arial" w:cs="Arial"/>
          <w:b w:val="0"/>
          <w:i w:val="0"/>
          <w:sz w:val="24"/>
        </w:rPr>
        <w:t xml:space="preserve">O ponto decisivo é qual das duas séries é fisicamente válida, e a resposta está na Tabela 1: o orçamento do nível do mar </w:t>
      </w:r>
      <w:r>
        <w:rPr>
          <w:rFonts w:ascii="Arial" w:hAnsi="Arial" w:eastAsia="Arial" w:cs="Arial"/>
          <w:b/>
          <w:i w:val="0"/>
          <w:sz w:val="24"/>
        </w:rPr>
        <w:t>fecha na Ilha Fiscal e é rejeitado em Cananéia</w:t>
      </w:r>
      <w:r>
        <w:rPr>
          <w:rFonts w:ascii="Arial" w:hAnsi="Arial" w:eastAsia="Arial" w:cs="Arial"/>
          <w:b w:val="0"/>
          <w:i w:val="0"/>
          <w:sz w:val="24"/>
        </w:rPr>
        <w:t>. A tendência forte e facilmente aprendível de Cananéia é exatamente aquela que a física rejeita, por conter 3,3 mm/ano que processo conhecido algum explica. Um procedimento de seleção guiado apenas por desempenho de validação cruzada preferiria Cananéia — maior R², menor erro fora da amostra, ganho expressivo sobre a linha de base — e produziria projeções confiantes, bem validadas e erradas. Desempenho de validação não é evidência de que se está aprendendo a coisa certa.</w:t>
      </w:r>
    </w:p>
    <w:p>
      <w:pPr>
        <w:spacing w:before="0" w:after="120" w:line="360" w:lineRule="auto"/>
        <w:ind w:firstLine="709"/>
        <w:jc w:val="both"/>
      </w:pPr>
      <w:r>
        <w:rPr>
          <w:rFonts w:ascii="Arial" w:hAnsi="Arial" w:eastAsia="Arial" w:cs="Arial"/>
          <w:b w:val="0"/>
          <w:i w:val="0"/>
          <w:sz w:val="24"/>
        </w:rPr>
        <w:t>Observe-se ainda que, mesmo em Cananéia, os vencedores são os dois estimadores mais simples, Theil-Sen e mínimos quadrados; os modelos de aprendizado de máquina permanecem agrupados junto à persistência. O segundo teste, sobre a série global de contribuição das calotas, completa o quadro: ali os algoritmos superam amplamente a linha de base (3,6 mm contra 25,5 mm no horizonte de 20 anos). A previsibilidade reside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Solicitada a contribuição das calotas em 2100, </w:t>
      </w:r>
      <w:r>
        <w:rPr>
          <w:rFonts w:ascii="Arial" w:hAnsi="Arial" w:eastAsia="Arial" w:cs="Arial"/>
          <w:b/>
          <w:i w:val="0"/>
          <w:sz w:val="24"/>
        </w:rPr>
        <w:t>seis dos quinze algoritmos respondem um valor constante</w:t>
      </w:r>
      <w:r>
        <w:rPr>
          <w:rFonts w:ascii="Arial" w:hAnsi="Arial" w:eastAsia="Arial" w:cs="Arial"/>
          <w:b w:val="0"/>
          <w:i w:val="0"/>
          <w:sz w:val="24"/>
        </w:rPr>
        <w:t xml:space="preserve">, idêntico em 2030, 2050 e 2100 — três deles exatamente o valor observado em 2018, e os outros três uma constante diferente dele. Modelos baseados em árvores de decisão e em vizinhança produzem previsões como médias de valores de treino e não podem gerar valor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para a relação entre temperatura e resposta. Na validação V3, o emulador foi calibrado </w:t>
      </w:r>
      <w:r>
        <w:rPr>
          <w:rFonts w:ascii="Arial" w:hAnsi="Arial" w:eastAsia="Arial" w:cs="Arial"/>
          <w:b/>
          <w:i w:val="0"/>
          <w:sz w:val="24"/>
        </w:rPr>
        <w:t>somente</w:t>
      </w:r>
      <w:r>
        <w:rPr>
          <w:rFonts w:ascii="Arial" w:hAnsi="Arial" w:eastAsia="Arial" w:cs="Arial"/>
          <w:b w:val="0"/>
          <w:i w:val="0"/>
          <w:sz w:val="24"/>
        </w:rPr>
        <w:t xml:space="preserve"> com 1900–1989, quando a perda de massa era pequena, e solicitado a prever 1990–2018, quando acelerou. Sem jamais ter visto o período de aceleração, reproduziu a taxa de perda da Groenlândia com erro de 5,0% e a taxa de expansão térmica com erro de 10,4%, superando neste último caso a melhor extrapolação polinomial por fator de dois. Subestimou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por usar conjunto inteiramente independente: o emulador, calibrado sobre a reconstrução de Frederikse et al. (2020), reproduz as taxas medidas por satélite pelo consórcio IMBIE — metodologia e equipe diferentes — com erro de +9,5% para a Groenlândia (0,513 contra 0,469 mm/ano) e −16,9% para a Antártica (0,199 contra 0,239 mm/ano).</w:t>
      </w:r>
    </w:p>
    <w:p>
      <w:pPr>
        <w:spacing w:before="0" w:after="120" w:line="360" w:lineRule="auto"/>
        <w:ind w:firstLine="0"/>
        <w:jc w:val="both"/>
      </w:pPr>
      <w:r>
        <w:rPr>
          <w:rFonts w:ascii="Arial" w:hAnsi="Arial" w:eastAsia="Arial" w:cs="Arial"/>
          <w:b w:val="0"/>
          <w:i w:val="0"/>
          <w:sz w:val="24"/>
        </w:rPr>
        <w:t xml:space="preserve">A análise de estabilidade revelou que o coeficiente de sensibilidade da Groenlândia varia 72,9% conforme o ano de corte da calibração. Em vez de tratar a instabilidade como ruído, mediu-se a sensibilidade diretamente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contudo,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E o denominador não é constante: o bootstrap do ajuste centenário devolve intervalo de 95% de 0,123 a 0,431 mm/ano por kelvin para esse coeficiente, porque o parâmetro de limiar T₀ do ajuste da Groenlândia converge para o extremo do intervalo admitido (seção 4.8). Propagando as duas incertezas, a razão tem mediana de 5,0 e intervalo de 95% de 0 a 13,6, com probabilidade de 93% de exceder a unidade. O que os dados sustentam é, portanto,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abaixo do valor central observado no período de satélite. A diferença, de +0,302 mm/ano por kelvin, equivale a 0,60σ da incerteza do valor observado (p = 0,55): as duas estimativas são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o recíproco, que já é informativo: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O achado reposiciona as três vias de projeção. A via A, calibrada em 119 anos, dilui numa média centenária uma sensibilidade que demonstravelmente cresceu, e fornece um limite inferior. A via A′, que usa a sensibilidade medida no próprio período de satélite, produz 359, 460 e 635 mm em 2100 nos cenários SSP1-2.6, SSP2-4.5 e SSP5-8.5 — valores situados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A magnitude das projeções processuais internacionais é, assim, sustentada de forma independente pela sensibilidade observada nas medições de satélite.</w:t>
      </w:r>
    </w:p>
    <w:p>
      <w:pPr>
        <w:spacing w:before="240" w:after="160" w:line="360" w:lineRule="auto"/>
        <w:ind w:firstLine="0"/>
        <w:jc w:val="left"/>
      </w:pPr>
      <w:r>
        <w:rPr>
          <w:rFonts w:ascii="Arial" w:hAnsi="Arial" w:eastAsia="Arial" w:cs="Arial"/>
          <w:b/>
          <w:i w:val="0"/>
          <w:sz w:val="24"/>
        </w:rPr>
        <w:t>4.5 Projeções para o litoral brasileiro e subsidência medida</w:t>
      </w:r>
    </w:p>
    <w:p>
      <w:pPr>
        <w:spacing w:before="0" w:after="120" w:line="360" w:lineRule="auto"/>
        <w:ind w:firstLine="709"/>
        <w:jc w:val="both"/>
      </w:pPr>
      <w:r>
        <w:rPr>
          <w:rFonts w:ascii="Arial" w:hAnsi="Arial" w:eastAsia="Arial" w:cs="Arial"/>
          <w:b w:val="0"/>
          <w:i w:val="0"/>
          <w:sz w:val="24"/>
        </w:rPr>
        <w:t>A Tabela 3 e a Figura 5 apresentam as projeções nos onze pontos analisados.</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Elevação projetada do nível relativo do mar e parcela das calotas (SSP2-4.5).</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w:t>
            </w:r>
          </w:p>
        </w:tc>
        <w:tc>
          <w:tcPr>
            <w:tcW w:type="dxa" w:w="1296"/>
            <w:shd w:val="clear" w:color="auto" w:fill="EFEFEC"/>
          </w:tcPr>
          <w:p>
            <w:pPr>
              <w:spacing w:before="20" w:after="20" w:line="240" w:lineRule="auto"/>
              <w:jc w:val="center"/>
            </w:pPr>
            <w:r/>
            <w:r>
              <w:rPr>
                <w:rFonts w:ascii="Arial" w:hAnsi="Arial" w:eastAsia="Arial" w:cs="Arial"/>
                <w:b/>
                <w:i w:val="0"/>
                <w:sz w:val="18"/>
              </w:rPr>
              <w:t>Lat.</w:t>
            </w:r>
          </w:p>
        </w:tc>
        <w:tc>
          <w:tcPr>
            <w:tcW w:type="dxa" w:w="1296"/>
            <w:shd w:val="clear" w:color="auto" w:fill="EFEFEC"/>
          </w:tcPr>
          <w:p>
            <w:pPr>
              <w:spacing w:before="20" w:after="20" w:line="240" w:lineRule="auto"/>
              <w:jc w:val="center"/>
            </w:pPr>
            <w:r/>
            <w:r>
              <w:rPr>
                <w:rFonts w:ascii="Arial" w:hAnsi="Arial" w:eastAsia="Arial" w:cs="Arial"/>
                <w:b/>
                <w:i w:val="0"/>
                <w:sz w:val="18"/>
              </w:rPr>
              <w:t>2050 (mm)</w:t>
            </w:r>
          </w:p>
        </w:tc>
        <w:tc>
          <w:tcPr>
            <w:tcW w:type="dxa" w:w="1296"/>
            <w:shd w:val="clear" w:color="auto" w:fill="EFEFEC"/>
          </w:tcPr>
          <w:p>
            <w:pPr>
              <w:spacing w:before="20" w:after="20" w:line="240" w:lineRule="auto"/>
              <w:jc w:val="center"/>
            </w:pPr>
            <w:r/>
            <w:r>
              <w:rPr>
                <w:rFonts w:ascii="Arial" w:hAnsi="Arial" w:eastAsia="Arial" w:cs="Arial"/>
                <w:b/>
                <w:i w:val="0"/>
                <w:sz w:val="18"/>
              </w:rPr>
              <w:t>2100 (mm)</w:t>
            </w:r>
          </w:p>
        </w:tc>
        <w:tc>
          <w:tcPr>
            <w:tcW w:type="dxa" w:w="1296"/>
            <w:shd w:val="clear" w:color="auto" w:fill="EFEFEC"/>
          </w:tcPr>
          <w:p>
            <w:pPr>
              <w:spacing w:before="20" w:after="20" w:line="240" w:lineRule="auto"/>
              <w:jc w:val="center"/>
            </w:pPr>
            <w:r/>
            <w:r>
              <w:rPr>
                <w:rFonts w:ascii="Arial" w:hAnsi="Arial" w:eastAsia="Arial" w:cs="Arial"/>
                <w:b/>
                <w:i w:val="0"/>
                <w:sz w:val="18"/>
              </w:rPr>
              <w:t>Calotas 2100 (mm)</w:t>
            </w:r>
          </w:p>
        </w:tc>
        <w:tc>
          <w:tcPr>
            <w:tcW w:type="dxa" w:w="1296"/>
            <w:shd w:val="clear" w:color="auto" w:fill="EFEFEC"/>
          </w:tcPr>
          <w:p>
            <w:pPr>
              <w:spacing w:before="20" w:after="20" w:line="240" w:lineRule="auto"/>
              <w:jc w:val="center"/>
            </w:pPr>
            <w:r/>
            <w:r>
              <w:rPr>
                <w:rFonts w:ascii="Arial" w:hAnsi="Arial" w:eastAsia="Arial" w:cs="Arial"/>
                <w:b/>
                <w:i w:val="0"/>
                <w:sz w:val="18"/>
              </w:rPr>
              <w:t>Parcela</w:t>
            </w:r>
          </w:p>
        </w:tc>
        <w:tc>
          <w:tcPr>
            <w:tcW w:type="dxa" w:w="1296"/>
            <w:shd w:val="clear" w:color="auto" w:fill="EFEFEC"/>
          </w:tcPr>
          <w:p>
            <w:pPr>
              <w:spacing w:before="20" w:after="20" w:line="240" w:lineRule="auto"/>
              <w:jc w:val="center"/>
            </w:pPr>
            <w:r/>
            <w:r>
              <w:rPr>
                <w:rFonts w:ascii="Arial" w:hAnsi="Arial" w:eastAsia="Arial" w:cs="Arial"/>
                <w:b/>
                <w:i w:val="0"/>
                <w:sz w:val="18"/>
              </w:rPr>
              <w:t>VLM GNSS (mm/ano)</w:t>
            </w:r>
          </w:p>
        </w:tc>
      </w:tr>
      <w:tr>
        <w:tc>
          <w:tcPr>
            <w:tcW w:type="dxa" w:w="1296"/>
          </w:tcPr>
          <w:p>
            <w:pPr>
              <w:spacing w:before="20" w:after="20" w:line="240" w:lineRule="auto"/>
              <w:jc w:val="left"/>
            </w:pPr>
            <w:r/>
            <w:r>
              <w:rPr>
                <w:rFonts w:ascii="Arial" w:hAnsi="Arial" w:eastAsia="Arial" w:cs="Arial"/>
                <w:b w:val="0"/>
                <w:i w:val="0"/>
                <w:sz w:val="18"/>
              </w:rPr>
              <w:t>Santana (AP)</w:t>
            </w:r>
          </w:p>
        </w:tc>
        <w:tc>
          <w:tcPr>
            <w:tcW w:type="dxa" w:w="1296"/>
          </w:tcPr>
          <w:p>
            <w:pPr>
              <w:spacing w:before="20" w:after="20" w:line="240" w:lineRule="auto"/>
              <w:jc w:val="center"/>
            </w:pPr>
            <w:r/>
            <w:r>
              <w:rPr>
                <w:rFonts w:ascii="Arial" w:hAnsi="Arial" w:eastAsia="Arial" w:cs="Arial"/>
                <w:b w:val="0"/>
                <w:i w:val="0"/>
                <w:sz w:val="18"/>
              </w:rPr>
              <w:t>−0,1°</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536</w:t>
            </w:r>
          </w:p>
        </w:tc>
        <w:tc>
          <w:tcPr>
            <w:tcW w:type="dxa" w:w="1296"/>
          </w:tcPr>
          <w:p>
            <w:pPr>
              <w:spacing w:before="20" w:after="20" w:line="240" w:lineRule="auto"/>
              <w:jc w:val="center"/>
            </w:pPr>
            <w:r/>
            <w:r>
              <w:rPr>
                <w:rFonts w:ascii="Arial" w:hAnsi="Arial" w:eastAsia="Arial" w:cs="Arial"/>
                <w:b w:val="0"/>
                <w:i w:val="0"/>
                <w:sz w:val="18"/>
              </w:rPr>
              <w:t>193</w:t>
            </w:r>
          </w:p>
        </w:tc>
        <w:tc>
          <w:tcPr>
            <w:tcW w:type="dxa" w:w="1296"/>
          </w:tcPr>
          <w:p>
            <w:pPr>
              <w:spacing w:before="20" w:after="20" w:line="240" w:lineRule="auto"/>
              <w:jc w:val="center"/>
            </w:pPr>
            <w:r/>
            <w:r>
              <w:rPr>
                <w:rFonts w:ascii="Arial" w:hAnsi="Arial" w:eastAsia="Arial" w:cs="Arial"/>
                <w:b w:val="0"/>
                <w:i w:val="0"/>
                <w:sz w:val="18"/>
              </w:rPr>
              <w:t>36,1%</w:t>
            </w:r>
          </w:p>
        </w:tc>
        <w:tc>
          <w:tcPr>
            <w:tcW w:type="dxa" w:w="1296"/>
          </w:tcPr>
          <w:p>
            <w:pPr>
              <w:spacing w:before="20" w:after="20" w:line="240" w:lineRule="auto"/>
              <w:jc w:val="center"/>
            </w:pPr>
            <w:r/>
            <w:r>
              <w:rPr>
                <w:rFonts w:ascii="Arial" w:hAnsi="Arial" w:eastAsia="Arial" w:cs="Arial"/>
                <w:b w:val="0"/>
                <w:i w:val="0"/>
                <w:sz w:val="18"/>
              </w:rPr>
              <w:t>−0,22</w:t>
            </w:r>
          </w:p>
        </w:tc>
      </w:tr>
      <w:tr>
        <w:tc>
          <w:tcPr>
            <w:tcW w:type="dxa" w:w="1296"/>
          </w:tcPr>
          <w:p>
            <w:pPr>
              <w:spacing w:before="20" w:after="20" w:line="240" w:lineRule="auto"/>
              <w:jc w:val="left"/>
            </w:pPr>
            <w:r/>
            <w:r>
              <w:rPr>
                <w:rFonts w:ascii="Arial" w:hAnsi="Arial" w:eastAsia="Arial" w:cs="Arial"/>
                <w:b w:val="0"/>
                <w:i w:val="0"/>
                <w:sz w:val="18"/>
              </w:rPr>
              <w:t>Belém (PA)</w:t>
            </w:r>
          </w:p>
        </w:tc>
        <w:tc>
          <w:tcPr>
            <w:tcW w:type="dxa" w:w="1296"/>
          </w:tcPr>
          <w:p>
            <w:pPr>
              <w:spacing w:before="20" w:after="20" w:line="240" w:lineRule="auto"/>
              <w:jc w:val="center"/>
            </w:pPr>
            <w:r/>
            <w:r>
              <w:rPr>
                <w:rFonts w:ascii="Arial" w:hAnsi="Arial" w:eastAsia="Arial" w:cs="Arial"/>
                <w:b w:val="0"/>
                <w:i w:val="0"/>
                <w:sz w:val="18"/>
              </w:rPr>
              <w:t>−1,4°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640</w:t>
            </w:r>
          </w:p>
        </w:tc>
        <w:tc>
          <w:tcPr>
            <w:tcW w:type="dxa" w:w="1296"/>
          </w:tcPr>
          <w:p>
            <w:pPr>
              <w:spacing w:before="20" w:after="20" w:line="240" w:lineRule="auto"/>
              <w:jc w:val="center"/>
            </w:pPr>
            <w:r/>
            <w:r>
              <w:rPr>
                <w:rFonts w:ascii="Arial" w:hAnsi="Arial" w:eastAsia="Arial" w:cs="Arial"/>
                <w:b w:val="0"/>
                <w:i w:val="0"/>
                <w:sz w:val="18"/>
              </w:rPr>
              <w:t>194</w:t>
            </w:r>
          </w:p>
        </w:tc>
        <w:tc>
          <w:tcPr>
            <w:tcW w:type="dxa" w:w="1296"/>
          </w:tcPr>
          <w:p>
            <w:pPr>
              <w:spacing w:before="20" w:after="20" w:line="240" w:lineRule="auto"/>
              <w:jc w:val="center"/>
            </w:pPr>
            <w:r/>
            <w:r>
              <w:rPr>
                <w:rFonts w:ascii="Arial" w:hAnsi="Arial" w:eastAsia="Arial" w:cs="Arial"/>
                <w:b w:val="0"/>
                <w:i w:val="0"/>
                <w:sz w:val="18"/>
              </w:rPr>
              <w:t>30,3%</w:t>
            </w:r>
          </w:p>
        </w:tc>
        <w:tc>
          <w:tcPr>
            <w:tcW w:type="dxa" w:w="1296"/>
          </w:tcPr>
          <w:p>
            <w:pPr>
              <w:spacing w:before="20" w:after="20" w:line="240" w:lineRule="auto"/>
              <w:jc w:val="center"/>
            </w:pPr>
            <w:r/>
            <w:r>
              <w:rPr>
                <w:rFonts w:ascii="Arial" w:hAnsi="Arial" w:eastAsia="Arial" w:cs="Arial"/>
                <w:b w:val="0"/>
                <w:i w:val="0"/>
                <w:sz w:val="18"/>
              </w:rPr>
              <w:t>−0,98</w:t>
            </w:r>
          </w:p>
        </w:tc>
      </w:tr>
      <w:tr>
        <w:tc>
          <w:tcPr>
            <w:tcW w:type="dxa" w:w="1296"/>
          </w:tcPr>
          <w:p>
            <w:pPr>
              <w:spacing w:before="20" w:after="20" w:line="240" w:lineRule="auto"/>
              <w:jc w:val="left"/>
            </w:pPr>
            <w:r/>
            <w:r>
              <w:rPr>
                <w:rFonts w:ascii="Arial" w:hAnsi="Arial" w:eastAsia="Arial" w:cs="Arial"/>
                <w:b w:val="0"/>
                <w:i w:val="0"/>
                <w:sz w:val="18"/>
              </w:rPr>
              <w:t>P. da Madeira (MA)</w:t>
            </w:r>
          </w:p>
        </w:tc>
        <w:tc>
          <w:tcPr>
            <w:tcW w:type="dxa" w:w="1296"/>
          </w:tcPr>
          <w:p>
            <w:pPr>
              <w:spacing w:before="20" w:after="20" w:line="240" w:lineRule="auto"/>
              <w:jc w:val="center"/>
            </w:pPr>
            <w:r/>
            <w:r>
              <w:rPr>
                <w:rFonts w:ascii="Arial" w:hAnsi="Arial" w:eastAsia="Arial" w:cs="Arial"/>
                <w:b w:val="0"/>
                <w:i w:val="0"/>
                <w:sz w:val="18"/>
              </w:rPr>
              <w:t>−2,6°</w:t>
            </w:r>
          </w:p>
        </w:tc>
        <w:tc>
          <w:tcPr>
            <w:tcW w:type="dxa" w:w="1296"/>
          </w:tcPr>
          <w:p>
            <w:pPr>
              <w:spacing w:before="20" w:after="20" w:line="240" w:lineRule="auto"/>
              <w:jc w:val="center"/>
            </w:pPr>
            <w:r/>
            <w:r>
              <w:rPr>
                <w:rFonts w:ascii="Arial" w:hAnsi="Arial" w:eastAsia="Arial" w:cs="Arial"/>
                <w:b w:val="0"/>
                <w:i w:val="0"/>
                <w:sz w:val="18"/>
              </w:rPr>
              <w:t>175</w:t>
            </w:r>
          </w:p>
        </w:tc>
        <w:tc>
          <w:tcPr>
            <w:tcW w:type="dxa" w:w="1296"/>
          </w:tcPr>
          <w:p>
            <w:pPr>
              <w:spacing w:before="20" w:after="20" w:line="240" w:lineRule="auto"/>
              <w:jc w:val="center"/>
            </w:pPr>
            <w:r/>
            <w:r>
              <w:rPr>
                <w:rFonts w:ascii="Arial" w:hAnsi="Arial" w:eastAsia="Arial" w:cs="Arial"/>
                <w:b w:val="0"/>
                <w:i w:val="0"/>
                <w:sz w:val="18"/>
              </w:rPr>
              <w:t>564</w:t>
            </w:r>
          </w:p>
        </w:tc>
        <w:tc>
          <w:tcPr>
            <w:tcW w:type="dxa" w:w="1296"/>
          </w:tcPr>
          <w:p>
            <w:pPr>
              <w:spacing w:before="20" w:after="20" w:line="240" w:lineRule="auto"/>
              <w:jc w:val="center"/>
            </w:pPr>
            <w:r/>
            <w:r>
              <w:rPr>
                <w:rFonts w:ascii="Arial" w:hAnsi="Arial" w:eastAsia="Arial" w:cs="Arial"/>
                <w:b w:val="0"/>
                <w:i w:val="0"/>
                <w:sz w:val="18"/>
              </w:rPr>
              <w:t>196</w:t>
            </w:r>
          </w:p>
        </w:tc>
        <w:tc>
          <w:tcPr>
            <w:tcW w:type="dxa" w:w="1296"/>
          </w:tcPr>
          <w:p>
            <w:pPr>
              <w:spacing w:before="20" w:after="20" w:line="240" w:lineRule="auto"/>
              <w:jc w:val="center"/>
            </w:pPr>
            <w:r/>
            <w:r>
              <w:rPr>
                <w:rFonts w:ascii="Arial" w:hAnsi="Arial" w:eastAsia="Arial" w:cs="Arial"/>
                <w:b w:val="0"/>
                <w:i w:val="0"/>
                <w:sz w:val="18"/>
              </w:rPr>
              <w:t>34,8%</w:t>
            </w:r>
          </w:p>
        </w:tc>
        <w:tc>
          <w:tcPr>
            <w:tcW w:type="dxa" w:w="1296"/>
          </w:tcPr>
          <w:p>
            <w:pPr>
              <w:spacing w:before="20" w:after="20" w:line="240" w:lineRule="auto"/>
              <w:jc w:val="center"/>
            </w:pPr>
            <w:r/>
            <w:r>
              <w:rPr>
                <w:rFonts w:ascii="Arial" w:hAnsi="Arial" w:eastAsia="Arial" w:cs="Arial"/>
                <w:b w:val="0"/>
                <w:i w:val="0"/>
                <w:sz w:val="18"/>
              </w:rPr>
              <w:t>−0,55</w:t>
            </w:r>
          </w:p>
        </w:tc>
      </w:tr>
      <w:tr>
        <w:tc>
          <w:tcPr>
            <w:tcW w:type="dxa" w:w="1296"/>
          </w:tcPr>
          <w:p>
            <w:pPr>
              <w:spacing w:before="20" w:after="20" w:line="240" w:lineRule="auto"/>
              <w:jc w:val="left"/>
            </w:pPr>
            <w:r/>
            <w:r>
              <w:rPr>
                <w:rFonts w:ascii="Arial" w:hAnsi="Arial" w:eastAsia="Arial" w:cs="Arial"/>
                <w:b w:val="0"/>
                <w:i w:val="0"/>
                <w:sz w:val="18"/>
              </w:rPr>
              <w:t>Fortaleza (CE)</w:t>
            </w:r>
          </w:p>
        </w:tc>
        <w:tc>
          <w:tcPr>
            <w:tcW w:type="dxa" w:w="1296"/>
          </w:tcPr>
          <w:p>
            <w:pPr>
              <w:spacing w:before="20" w:after="20" w:line="240" w:lineRule="auto"/>
              <w:jc w:val="center"/>
            </w:pPr>
            <w:r/>
            <w:r>
              <w:rPr>
                <w:rFonts w:ascii="Arial" w:hAnsi="Arial" w:eastAsia="Arial" w:cs="Arial"/>
                <w:b w:val="0"/>
                <w:i w:val="0"/>
                <w:sz w:val="18"/>
              </w:rPr>
              <w:t>−3,7°</w:t>
            </w:r>
          </w:p>
        </w:tc>
        <w:tc>
          <w:tcPr>
            <w:tcW w:type="dxa" w:w="1296"/>
          </w:tcPr>
          <w:p>
            <w:pPr>
              <w:spacing w:before="20" w:after="20" w:line="240" w:lineRule="auto"/>
              <w:jc w:val="center"/>
            </w:pPr>
            <w:r/>
            <w:r>
              <w:rPr>
                <w:rFonts w:ascii="Arial" w:hAnsi="Arial" w:eastAsia="Arial" w:cs="Arial"/>
                <w:b w:val="0"/>
                <w:i w:val="0"/>
                <w:sz w:val="18"/>
              </w:rPr>
              <w:t>171</w:t>
            </w:r>
          </w:p>
        </w:tc>
        <w:tc>
          <w:tcPr>
            <w:tcW w:type="dxa" w:w="1296"/>
          </w:tcPr>
          <w:p>
            <w:pPr>
              <w:spacing w:before="20" w:after="20" w:line="240" w:lineRule="auto"/>
              <w:jc w:val="center"/>
            </w:pPr>
            <w:r/>
            <w:r>
              <w:rPr>
                <w:rFonts w:ascii="Arial" w:hAnsi="Arial" w:eastAsia="Arial" w:cs="Arial"/>
                <w:b w:val="0"/>
                <w:i w:val="0"/>
                <w:sz w:val="18"/>
              </w:rPr>
              <w:t>554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36,5%</w:t>
            </w:r>
          </w:p>
        </w:tc>
        <w:tc>
          <w:tcPr>
            <w:tcW w:type="dxa" w:w="1296"/>
          </w:tcPr>
          <w:p>
            <w:pPr>
              <w:spacing w:before="20" w:after="20" w:line="240" w:lineRule="auto"/>
              <w:jc w:val="center"/>
            </w:pPr>
            <w:r/>
            <w:r>
              <w:rPr>
                <w:rFonts w:ascii="Arial" w:hAnsi="Arial" w:eastAsia="Arial" w:cs="Arial"/>
                <w:b w:val="0"/>
                <w:i w:val="0"/>
                <w:sz w:val="18"/>
              </w:rPr>
              <w:t>−0,30</w:t>
            </w:r>
          </w:p>
        </w:tc>
      </w:tr>
      <w:tr>
        <w:tc>
          <w:tcPr>
            <w:tcW w:type="dxa" w:w="1296"/>
          </w:tcPr>
          <w:p>
            <w:pPr>
              <w:spacing w:before="20" w:after="20" w:line="240" w:lineRule="auto"/>
              <w:jc w:val="left"/>
            </w:pPr>
            <w:r/>
            <w:r>
              <w:rPr>
                <w:rFonts w:ascii="Arial" w:hAnsi="Arial" w:eastAsia="Arial" w:cs="Arial"/>
                <w:b w:val="0"/>
                <w:i w:val="0"/>
                <w:sz w:val="18"/>
              </w:rPr>
              <w:t>Recife (PE)</w:t>
            </w:r>
          </w:p>
        </w:tc>
        <w:tc>
          <w:tcPr>
            <w:tcW w:type="dxa" w:w="1296"/>
          </w:tcPr>
          <w:p>
            <w:pPr>
              <w:spacing w:before="20" w:after="20" w:line="240" w:lineRule="auto"/>
              <w:jc w:val="center"/>
            </w:pPr>
            <w:r/>
            <w:r>
              <w:rPr>
                <w:rFonts w:ascii="Arial" w:hAnsi="Arial" w:eastAsia="Arial" w:cs="Arial"/>
                <w:b w:val="0"/>
                <w:i w:val="0"/>
                <w:sz w:val="18"/>
              </w:rPr>
              <w:t>−8,1°</w:t>
            </w:r>
          </w:p>
        </w:tc>
        <w:tc>
          <w:tcPr>
            <w:tcW w:type="dxa" w:w="1296"/>
          </w:tcPr>
          <w:p>
            <w:pPr>
              <w:spacing w:before="20" w:after="20" w:line="240" w:lineRule="auto"/>
              <w:jc w:val="center"/>
            </w:pPr>
            <w:r/>
            <w:r>
              <w:rPr>
                <w:rFonts w:ascii="Arial" w:hAnsi="Arial" w:eastAsia="Arial" w:cs="Arial"/>
                <w:b w:val="0"/>
                <w:i w:val="0"/>
                <w:sz w:val="18"/>
              </w:rPr>
              <w:t>260</w:t>
            </w:r>
          </w:p>
        </w:tc>
        <w:tc>
          <w:tcPr>
            <w:tcW w:type="dxa" w:w="1296"/>
          </w:tcPr>
          <w:p>
            <w:pPr>
              <w:spacing w:before="20" w:after="20" w:line="240" w:lineRule="auto"/>
              <w:jc w:val="center"/>
            </w:pPr>
            <w:r/>
            <w:r>
              <w:rPr>
                <w:rFonts w:ascii="Arial" w:hAnsi="Arial" w:eastAsia="Arial" w:cs="Arial"/>
                <w:b w:val="0"/>
                <w:i w:val="0"/>
                <w:sz w:val="18"/>
              </w:rPr>
              <w:t>794</w:t>
            </w:r>
          </w:p>
        </w:tc>
        <w:tc>
          <w:tcPr>
            <w:tcW w:type="dxa" w:w="1296"/>
          </w:tcPr>
          <w:p>
            <w:pPr>
              <w:spacing w:before="20" w:after="20" w:line="240" w:lineRule="auto"/>
              <w:jc w:val="center"/>
            </w:pPr>
            <w:r/>
            <w:r>
              <w:rPr>
                <w:rFonts w:ascii="Arial" w:hAnsi="Arial" w:eastAsia="Arial" w:cs="Arial"/>
                <w:b w:val="0"/>
                <w:i w:val="0"/>
                <w:sz w:val="18"/>
              </w:rPr>
              <w:t>206</w:t>
            </w:r>
          </w:p>
        </w:tc>
        <w:tc>
          <w:tcPr>
            <w:tcW w:type="dxa" w:w="1296"/>
          </w:tcPr>
          <w:p>
            <w:pPr>
              <w:spacing w:before="20" w:after="20" w:line="240" w:lineRule="auto"/>
              <w:jc w:val="center"/>
            </w:pPr>
            <w:r/>
            <w:r>
              <w:rPr>
                <w:rFonts w:ascii="Arial" w:hAnsi="Arial" w:eastAsia="Arial" w:cs="Arial"/>
                <w:b w:val="0"/>
                <w:i w:val="0"/>
                <w:sz w:val="18"/>
              </w:rPr>
              <w:t>25,9%</w:t>
            </w:r>
          </w:p>
        </w:tc>
        <w:tc>
          <w:tcPr>
            <w:tcW w:type="dxa" w:w="1296"/>
          </w:tcPr>
          <w:p>
            <w:pPr>
              <w:spacing w:before="20" w:after="20" w:line="240" w:lineRule="auto"/>
              <w:jc w:val="center"/>
            </w:pPr>
            <w:r/>
            <w:r>
              <w:rPr>
                <w:rFonts w:ascii="Arial" w:hAnsi="Arial" w:eastAsia="Arial" w:cs="Arial"/>
                <w:b w:val="0"/>
                <w:i w:val="0"/>
                <w:sz w:val="18"/>
              </w:rPr>
              <w:t>−3,05</w:t>
            </w:r>
          </w:p>
        </w:tc>
      </w:tr>
      <w:tr>
        <w:tc>
          <w:tcPr>
            <w:tcW w:type="dxa" w:w="1296"/>
          </w:tcPr>
          <w:p>
            <w:pPr>
              <w:spacing w:before="20" w:after="20" w:line="240" w:lineRule="auto"/>
              <w:jc w:val="left"/>
            </w:pPr>
            <w:r/>
            <w:r>
              <w:rPr>
                <w:rFonts w:ascii="Arial" w:hAnsi="Arial" w:eastAsia="Arial" w:cs="Arial"/>
                <w:b w:val="0"/>
                <w:i w:val="0"/>
                <w:sz w:val="18"/>
              </w:rPr>
              <w:t>Salvador (BA)</w:t>
            </w:r>
          </w:p>
        </w:tc>
        <w:tc>
          <w:tcPr>
            <w:tcW w:type="dxa" w:w="1296"/>
          </w:tcPr>
          <w:p>
            <w:pPr>
              <w:spacing w:before="20" w:after="20" w:line="240" w:lineRule="auto"/>
              <w:jc w:val="center"/>
            </w:pPr>
            <w:r/>
            <w:r>
              <w:rPr>
                <w:rFonts w:ascii="Arial" w:hAnsi="Arial" w:eastAsia="Arial" w:cs="Arial"/>
                <w:b w:val="0"/>
                <w:i w:val="0"/>
                <w:sz w:val="18"/>
              </w:rPr>
              <w:t>−13,0°</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509</w:t>
            </w:r>
          </w:p>
        </w:tc>
        <w:tc>
          <w:tcPr>
            <w:tcW w:type="dxa" w:w="1296"/>
          </w:tcPr>
          <w:p>
            <w:pPr>
              <w:spacing w:before="20" w:after="20" w:line="240" w:lineRule="auto"/>
              <w:jc w:val="center"/>
            </w:pPr>
            <w:r/>
            <w:r>
              <w:rPr>
                <w:rFonts w:ascii="Arial" w:hAnsi="Arial" w:eastAsia="Arial" w:cs="Arial"/>
                <w:b w:val="0"/>
                <w:i w:val="0"/>
                <w:sz w:val="18"/>
              </w:rPr>
              <w:t>201</w:t>
            </w:r>
          </w:p>
        </w:tc>
        <w:tc>
          <w:tcPr>
            <w:tcW w:type="dxa" w:w="1296"/>
          </w:tcPr>
          <w:p>
            <w:pPr>
              <w:spacing w:before="20" w:after="20" w:line="240" w:lineRule="auto"/>
              <w:jc w:val="center"/>
            </w:pPr>
            <w:r/>
            <w:r>
              <w:rPr>
                <w:rFonts w:ascii="Arial" w:hAnsi="Arial" w:eastAsia="Arial" w:cs="Arial"/>
                <w:b w:val="0"/>
                <w:i w:val="0"/>
                <w:sz w:val="18"/>
              </w:rPr>
              <w:t>39,5%</w:t>
            </w:r>
          </w:p>
        </w:tc>
        <w:tc>
          <w:tcPr>
            <w:tcW w:type="dxa" w:w="1296"/>
          </w:tcPr>
          <w:p>
            <w:pPr>
              <w:spacing w:before="20" w:after="20" w:line="240" w:lineRule="auto"/>
              <w:jc w:val="center"/>
            </w:pPr>
            <w:r/>
            <w:r>
              <w:rPr>
                <w:rFonts w:ascii="Arial" w:hAnsi="Arial" w:eastAsia="Arial" w:cs="Arial"/>
                <w:b w:val="0"/>
                <w:i w:val="0"/>
                <w:sz w:val="18"/>
              </w:rPr>
              <w:t>+0,09</w:t>
            </w:r>
          </w:p>
        </w:tc>
      </w:tr>
      <w:tr>
        <w:tc>
          <w:tcPr>
            <w:tcW w:type="dxa" w:w="1296"/>
          </w:tcPr>
          <w:p>
            <w:pPr>
              <w:spacing w:before="20" w:after="20" w:line="240" w:lineRule="auto"/>
              <w:jc w:val="left"/>
            </w:pPr>
            <w:r/>
            <w:r>
              <w:rPr>
                <w:rFonts w:ascii="Arial" w:hAnsi="Arial" w:eastAsia="Arial" w:cs="Arial"/>
                <w:b w:val="0"/>
                <w:i w:val="0"/>
                <w:sz w:val="18"/>
              </w:rPr>
              <w:t>Ilha Fiscal (RJ)</w:t>
            </w:r>
          </w:p>
        </w:tc>
        <w:tc>
          <w:tcPr>
            <w:tcW w:type="dxa" w:w="1296"/>
          </w:tcPr>
          <w:p>
            <w:pPr>
              <w:spacing w:before="20" w:after="20" w:line="240" w:lineRule="auto"/>
              <w:jc w:val="center"/>
            </w:pPr>
            <w:r/>
            <w:r>
              <w:rPr>
                <w:rFonts w:ascii="Arial" w:hAnsi="Arial" w:eastAsia="Arial" w:cs="Arial"/>
                <w:b w:val="0"/>
                <w:i w:val="0"/>
                <w:sz w:val="18"/>
              </w:rPr>
              <w:t>−22,9°</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505</w:t>
            </w:r>
          </w:p>
        </w:tc>
        <w:tc>
          <w:tcPr>
            <w:tcW w:type="dxa" w:w="1296"/>
          </w:tcPr>
          <w:p>
            <w:pPr>
              <w:spacing w:before="20" w:after="20" w:line="240" w:lineRule="auto"/>
              <w:jc w:val="center"/>
            </w:pPr>
            <w:r/>
            <w:r>
              <w:rPr>
                <w:rFonts w:ascii="Arial" w:hAnsi="Arial" w:eastAsia="Arial" w:cs="Arial"/>
                <w:b w:val="0"/>
                <w:i w:val="0"/>
                <w:sz w:val="18"/>
              </w:rPr>
              <w:t>197</w:t>
            </w:r>
          </w:p>
        </w:tc>
        <w:tc>
          <w:tcPr>
            <w:tcW w:type="dxa" w:w="1296"/>
          </w:tcPr>
          <w:p>
            <w:pPr>
              <w:spacing w:before="20" w:after="20" w:line="240" w:lineRule="auto"/>
              <w:jc w:val="center"/>
            </w:pPr>
            <w:r/>
            <w:r>
              <w:rPr>
                <w:rFonts w:ascii="Arial" w:hAnsi="Arial" w:eastAsia="Arial" w:cs="Arial"/>
                <w:b w:val="0"/>
                <w:i w:val="0"/>
                <w:sz w:val="18"/>
              </w:rPr>
              <w:t>39,0%</w:t>
            </w:r>
          </w:p>
        </w:tc>
        <w:tc>
          <w:tcPr>
            <w:tcW w:type="dxa" w:w="1296"/>
          </w:tcPr>
          <w:p>
            <w:pPr>
              <w:spacing w:before="20" w:after="20" w:line="240" w:lineRule="auto"/>
              <w:jc w:val="center"/>
            </w:pPr>
            <w:r/>
            <w:r>
              <w:rPr>
                <w:rFonts w:ascii="Arial" w:hAnsi="Arial" w:eastAsia="Arial" w:cs="Arial"/>
                <w:b w:val="0"/>
                <w:i w:val="0"/>
                <w:sz w:val="18"/>
              </w:rPr>
              <w:t>−0,12</w:t>
            </w:r>
          </w:p>
        </w:tc>
      </w:tr>
      <w:tr>
        <w:tc>
          <w:tcPr>
            <w:tcW w:type="dxa" w:w="1296"/>
          </w:tcPr>
          <w:p>
            <w:pPr>
              <w:spacing w:before="20" w:after="20" w:line="240" w:lineRule="auto"/>
              <w:jc w:val="left"/>
            </w:pPr>
            <w:r/>
            <w:r>
              <w:rPr>
                <w:rFonts w:ascii="Arial" w:hAnsi="Arial" w:eastAsia="Arial" w:cs="Arial"/>
                <w:b w:val="0"/>
                <w:i w:val="0"/>
                <w:sz w:val="18"/>
              </w:rPr>
              <w:t>Santos (SP)</w:t>
            </w:r>
          </w:p>
        </w:tc>
        <w:tc>
          <w:tcPr>
            <w:tcW w:type="dxa" w:w="1296"/>
          </w:tcPr>
          <w:p>
            <w:pPr>
              <w:spacing w:before="20" w:after="20" w:line="240" w:lineRule="auto"/>
              <w:jc w:val="center"/>
            </w:pPr>
            <w:r/>
            <w:r>
              <w:rPr>
                <w:rFonts w:ascii="Arial" w:hAnsi="Arial" w:eastAsia="Arial" w:cs="Arial"/>
                <w:b w:val="0"/>
                <w:i w:val="0"/>
                <w:sz w:val="18"/>
              </w:rPr>
              <w:t>−24,0°</w:t>
            </w:r>
          </w:p>
        </w:tc>
        <w:tc>
          <w:tcPr>
            <w:tcW w:type="dxa" w:w="1296"/>
          </w:tcPr>
          <w:p>
            <w:pPr>
              <w:spacing w:before="20" w:after="20" w:line="240" w:lineRule="auto"/>
              <w:jc w:val="center"/>
            </w:pPr>
            <w:r/>
            <w:r>
              <w:rPr>
                <w:rFonts w:ascii="Arial" w:hAnsi="Arial" w:eastAsia="Arial" w:cs="Arial"/>
                <w:b w:val="0"/>
                <w:i w:val="0"/>
                <w:sz w:val="18"/>
              </w:rPr>
              <w:t>138</w:t>
            </w:r>
          </w:p>
        </w:tc>
        <w:tc>
          <w:tcPr>
            <w:tcW w:type="dxa" w:w="1296"/>
          </w:tcPr>
          <w:p>
            <w:pPr>
              <w:spacing w:before="20" w:after="20" w:line="240" w:lineRule="auto"/>
              <w:jc w:val="center"/>
            </w:pPr>
            <w:r/>
            <w:r>
              <w:rPr>
                <w:rFonts w:ascii="Arial" w:hAnsi="Arial" w:eastAsia="Arial" w:cs="Arial"/>
                <w:b w:val="0"/>
                <w:i w:val="0"/>
                <w:sz w:val="18"/>
              </w:rPr>
              <w:t>458</w:t>
            </w:r>
          </w:p>
        </w:tc>
        <w:tc>
          <w:tcPr>
            <w:tcW w:type="dxa" w:w="1296"/>
          </w:tcPr>
          <w:p>
            <w:pPr>
              <w:spacing w:before="20" w:after="20" w:line="240" w:lineRule="auto"/>
              <w:jc w:val="center"/>
            </w:pPr>
            <w:r/>
            <w:r>
              <w:rPr>
                <w:rFonts w:ascii="Arial" w:hAnsi="Arial" w:eastAsia="Arial" w:cs="Arial"/>
                <w:b w:val="0"/>
                <w:i w:val="0"/>
                <w:sz w:val="18"/>
              </w:rPr>
              <w:t>192</w:t>
            </w:r>
          </w:p>
        </w:tc>
        <w:tc>
          <w:tcPr>
            <w:tcW w:type="dxa" w:w="1296"/>
          </w:tcPr>
          <w:p>
            <w:pPr>
              <w:spacing w:before="20" w:after="20" w:line="240" w:lineRule="auto"/>
              <w:jc w:val="center"/>
            </w:pPr>
            <w:r/>
            <w:r>
              <w:rPr>
                <w:rFonts w:ascii="Arial" w:hAnsi="Arial" w:eastAsia="Arial" w:cs="Arial"/>
                <w:b w:val="0"/>
                <w:i w:val="0"/>
                <w:sz w:val="18"/>
              </w:rPr>
              <w:t>42,0%</w:t>
            </w:r>
          </w:p>
        </w:tc>
        <w:tc>
          <w:tcPr>
            <w:tcW w:type="dxa" w:w="1296"/>
          </w:tcPr>
          <w:p>
            <w:pPr>
              <w:spacing w:before="20" w:after="20" w:line="240" w:lineRule="auto"/>
              <w:jc w:val="center"/>
            </w:pPr>
            <w:r/>
            <w:r>
              <w:rPr>
                <w:rFonts w:ascii="Arial" w:hAnsi="Arial" w:eastAsia="Arial" w:cs="Arial"/>
                <w:b w:val="0"/>
                <w:i w:val="0"/>
                <w:sz w:val="18"/>
              </w:rPr>
              <w:t>+0,69</w:t>
            </w:r>
          </w:p>
        </w:tc>
      </w:tr>
      <w:tr>
        <w:tc>
          <w:tcPr>
            <w:tcW w:type="dxa" w:w="1296"/>
          </w:tcPr>
          <w:p>
            <w:pPr>
              <w:spacing w:before="20" w:after="20" w:line="240" w:lineRule="auto"/>
              <w:jc w:val="left"/>
            </w:pPr>
            <w:r/>
            <w:r>
              <w:rPr>
                <w:rFonts w:ascii="Arial" w:hAnsi="Arial" w:eastAsia="Arial" w:cs="Arial"/>
                <w:b w:val="0"/>
                <w:i w:val="0"/>
                <w:sz w:val="18"/>
              </w:rPr>
              <w:t>Cananéia (SP)</w:t>
            </w:r>
          </w:p>
        </w:tc>
        <w:tc>
          <w:tcPr>
            <w:tcW w:type="dxa" w:w="1296"/>
          </w:tcPr>
          <w:p>
            <w:pPr>
              <w:spacing w:before="20" w:after="20" w:line="240" w:lineRule="auto"/>
              <w:jc w:val="center"/>
            </w:pPr>
            <w:r/>
            <w:r>
              <w:rPr>
                <w:rFonts w:ascii="Arial" w:hAnsi="Arial" w:eastAsia="Arial" w:cs="Arial"/>
                <w:b w:val="0"/>
                <w:i w:val="0"/>
                <w:sz w:val="18"/>
              </w:rPr>
              <w:t>−25,0°</w:t>
            </w:r>
          </w:p>
        </w:tc>
        <w:tc>
          <w:tcPr>
            <w:tcW w:type="dxa" w:w="1296"/>
          </w:tcPr>
          <w:p>
            <w:pPr>
              <w:spacing w:before="20" w:after="20" w:line="240" w:lineRule="auto"/>
              <w:jc w:val="center"/>
            </w:pPr>
            <w:r/>
            <w:r>
              <w:rPr>
                <w:rFonts w:ascii="Arial" w:hAnsi="Arial" w:eastAsia="Arial" w:cs="Arial"/>
                <w:b w:val="0"/>
                <w:i w:val="0"/>
                <w:sz w:val="18"/>
              </w:rPr>
              <w:t>154</w:t>
            </w:r>
          </w:p>
        </w:tc>
        <w:tc>
          <w:tcPr>
            <w:tcW w:type="dxa" w:w="1296"/>
          </w:tcPr>
          <w:p>
            <w:pPr>
              <w:spacing w:before="20" w:after="20" w:line="240" w:lineRule="auto"/>
              <w:jc w:val="center"/>
            </w:pPr>
            <w:r/>
            <w:r>
              <w:rPr>
                <w:rFonts w:ascii="Arial" w:hAnsi="Arial" w:eastAsia="Arial" w:cs="Arial"/>
                <w:b w:val="0"/>
                <w:i w:val="0"/>
                <w:sz w:val="18"/>
              </w:rPr>
              <w:t>500</w:t>
            </w:r>
          </w:p>
        </w:tc>
        <w:tc>
          <w:tcPr>
            <w:tcW w:type="dxa" w:w="1296"/>
          </w:tcPr>
          <w:p>
            <w:pPr>
              <w:spacing w:before="20" w:after="20" w:line="240" w:lineRule="auto"/>
              <w:jc w:val="center"/>
            </w:pPr>
            <w:r/>
            <w:r>
              <w:rPr>
                <w:rFonts w:ascii="Arial" w:hAnsi="Arial" w:eastAsia="Arial" w:cs="Arial"/>
                <w:b w:val="0"/>
                <w:i w:val="0"/>
                <w:sz w:val="18"/>
              </w:rPr>
              <w:t>190</w:t>
            </w:r>
          </w:p>
        </w:tc>
        <w:tc>
          <w:tcPr>
            <w:tcW w:type="dxa" w:w="1296"/>
          </w:tcPr>
          <w:p>
            <w:pPr>
              <w:spacing w:before="20" w:after="20" w:line="240" w:lineRule="auto"/>
              <w:jc w:val="center"/>
            </w:pPr>
            <w:r/>
            <w:r>
              <w:rPr>
                <w:rFonts w:ascii="Arial" w:hAnsi="Arial" w:eastAsia="Arial" w:cs="Arial"/>
                <w:b w:val="0"/>
                <w:i w:val="0"/>
                <w:sz w:val="18"/>
              </w:rPr>
              <w:t>38,0%</w:t>
            </w:r>
          </w:p>
        </w:tc>
        <w:tc>
          <w:tcPr>
            <w:tcW w:type="dxa" w:w="1296"/>
          </w:tcPr>
          <w:p>
            <w:pPr>
              <w:spacing w:before="20" w:after="20" w:line="240" w:lineRule="auto"/>
              <w:jc w:val="center"/>
            </w:pPr>
            <w:r/>
            <w:r>
              <w:rPr>
                <w:rFonts w:ascii="Arial" w:hAnsi="Arial" w:eastAsia="Arial" w:cs="Arial"/>
                <w:b w:val="0"/>
                <w:i w:val="0"/>
                <w:sz w:val="18"/>
              </w:rPr>
              <w:t>−0,04</w:t>
            </w:r>
          </w:p>
        </w:tc>
      </w:tr>
      <w:tr>
        <w:tc>
          <w:tcPr>
            <w:tcW w:type="dxa" w:w="1296"/>
          </w:tcPr>
          <w:p>
            <w:pPr>
              <w:spacing w:before="20" w:after="20" w:line="240" w:lineRule="auto"/>
              <w:jc w:val="left"/>
            </w:pPr>
            <w:r/>
            <w:r>
              <w:rPr>
                <w:rFonts w:ascii="Arial" w:hAnsi="Arial" w:eastAsia="Arial" w:cs="Arial"/>
                <w:b w:val="0"/>
                <w:i w:val="0"/>
                <w:sz w:val="18"/>
              </w:rPr>
              <w:t>Imbituba (SC)</w:t>
            </w:r>
          </w:p>
        </w:tc>
        <w:tc>
          <w:tcPr>
            <w:tcW w:type="dxa" w:w="1296"/>
          </w:tcPr>
          <w:p>
            <w:pPr>
              <w:spacing w:before="20" w:after="20" w:line="240" w:lineRule="auto"/>
              <w:jc w:val="center"/>
            </w:pPr>
            <w:r/>
            <w:r>
              <w:rPr>
                <w:rFonts w:ascii="Arial" w:hAnsi="Arial" w:eastAsia="Arial" w:cs="Arial"/>
                <w:b w:val="0"/>
                <w:i w:val="0"/>
                <w:sz w:val="18"/>
              </w:rPr>
              <w:t>−28,2°</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529</w:t>
            </w:r>
          </w:p>
        </w:tc>
        <w:tc>
          <w:tcPr>
            <w:tcW w:type="dxa" w:w="1296"/>
          </w:tcPr>
          <w:p>
            <w:pPr>
              <w:spacing w:before="20" w:after="20" w:line="240" w:lineRule="auto"/>
              <w:jc w:val="center"/>
            </w:pPr>
            <w:r/>
            <w:r>
              <w:rPr>
                <w:rFonts w:ascii="Arial" w:hAnsi="Arial" w:eastAsia="Arial" w:cs="Arial"/>
                <w:b w:val="0"/>
                <w:i w:val="0"/>
                <w:sz w:val="18"/>
              </w:rPr>
              <w:t>189</w:t>
            </w:r>
          </w:p>
        </w:tc>
        <w:tc>
          <w:tcPr>
            <w:tcW w:type="dxa" w:w="1296"/>
          </w:tcPr>
          <w:p>
            <w:pPr>
              <w:spacing w:before="20" w:after="20" w:line="240" w:lineRule="auto"/>
              <w:jc w:val="center"/>
            </w:pPr>
            <w:r/>
            <w:r>
              <w:rPr>
                <w:rFonts w:ascii="Arial" w:hAnsi="Arial" w:eastAsia="Arial" w:cs="Arial"/>
                <w:b w:val="0"/>
                <w:i w:val="0"/>
                <w:sz w:val="18"/>
              </w:rPr>
              <w:t>35,7%</w:t>
            </w:r>
          </w:p>
        </w:tc>
        <w:tc>
          <w:tcPr>
            <w:tcW w:type="dxa" w:w="1296"/>
          </w:tcPr>
          <w:p>
            <w:pPr>
              <w:spacing w:before="20" w:after="20" w:line="240" w:lineRule="auto"/>
              <w:jc w:val="center"/>
            </w:pPr>
            <w:r/>
            <w:r>
              <w:rPr>
                <w:rFonts w:ascii="Arial" w:hAnsi="Arial" w:eastAsia="Arial" w:cs="Arial"/>
                <w:b w:val="0"/>
                <w:i w:val="0"/>
                <w:sz w:val="18"/>
              </w:rPr>
              <w:t>−0,41</w:t>
            </w:r>
          </w:p>
        </w:tc>
      </w:tr>
      <w:tr>
        <w:tc>
          <w:tcPr>
            <w:tcW w:type="dxa" w:w="1296"/>
          </w:tcPr>
          <w:p>
            <w:pPr>
              <w:spacing w:before="20" w:after="20" w:line="240" w:lineRule="auto"/>
              <w:jc w:val="left"/>
            </w:pPr>
            <w:r/>
            <w:r>
              <w:rPr>
                <w:rFonts w:ascii="Arial" w:hAnsi="Arial" w:eastAsia="Arial" w:cs="Arial"/>
                <w:b w:val="0"/>
                <w:i w:val="0"/>
                <w:sz w:val="18"/>
              </w:rPr>
              <w:t>Rio Grande (RS)</w:t>
            </w:r>
          </w:p>
        </w:tc>
        <w:tc>
          <w:tcPr>
            <w:tcW w:type="dxa" w:w="1296"/>
          </w:tcPr>
          <w:p>
            <w:pPr>
              <w:spacing w:before="20" w:after="20" w:line="240" w:lineRule="auto"/>
              <w:jc w:val="center"/>
            </w:pPr>
            <w:r/>
            <w:r>
              <w:rPr>
                <w:rFonts w:ascii="Arial" w:hAnsi="Arial" w:eastAsia="Arial" w:cs="Arial"/>
                <w:b w:val="0"/>
                <w:i w:val="0"/>
                <w:sz w:val="18"/>
              </w:rPr>
              <w:t>−32,1°</w:t>
            </w:r>
          </w:p>
        </w:tc>
        <w:tc>
          <w:tcPr>
            <w:tcW w:type="dxa" w:w="1296"/>
          </w:tcPr>
          <w:p>
            <w:pPr>
              <w:spacing w:before="20" w:after="20" w:line="240" w:lineRule="auto"/>
              <w:jc w:val="center"/>
            </w:pPr>
            <w:r/>
            <w:r>
              <w:rPr>
                <w:rFonts w:ascii="Arial" w:hAnsi="Arial" w:eastAsia="Arial" w:cs="Arial"/>
                <w:b w:val="0"/>
                <w:i w:val="0"/>
                <w:sz w:val="18"/>
              </w:rPr>
              <w:t>119</w:t>
            </w:r>
          </w:p>
        </w:tc>
        <w:tc>
          <w:tcPr>
            <w:tcW w:type="dxa" w:w="1296"/>
          </w:tcPr>
          <w:p>
            <w:pPr>
              <w:spacing w:before="20" w:after="20" w:line="240" w:lineRule="auto"/>
              <w:jc w:val="center"/>
            </w:pPr>
            <w:r/>
            <w:r>
              <w:rPr>
                <w:rFonts w:ascii="Arial" w:hAnsi="Arial" w:eastAsia="Arial" w:cs="Arial"/>
                <w:b w:val="0"/>
                <w:i w:val="0"/>
                <w:sz w:val="18"/>
              </w:rPr>
              <w:t>404</w:t>
            </w:r>
          </w:p>
        </w:tc>
        <w:tc>
          <w:tcPr>
            <w:tcW w:type="dxa" w:w="1296"/>
          </w:tcPr>
          <w:p>
            <w:pPr>
              <w:spacing w:before="20" w:after="20" w:line="240" w:lineRule="auto"/>
              <w:jc w:val="center"/>
            </w:pPr>
            <w:r/>
            <w:r>
              <w:rPr>
                <w:rFonts w:ascii="Arial" w:hAnsi="Arial" w:eastAsia="Arial" w:cs="Arial"/>
                <w:b w:val="0"/>
                <w:i w:val="0"/>
                <w:sz w:val="18"/>
              </w:rPr>
              <w:t>179</w:t>
            </w:r>
          </w:p>
        </w:tc>
        <w:tc>
          <w:tcPr>
            <w:tcW w:type="dxa" w:w="1296"/>
          </w:tcPr>
          <w:p>
            <w:pPr>
              <w:spacing w:before="20" w:after="20" w:line="240" w:lineRule="auto"/>
              <w:jc w:val="center"/>
            </w:pPr>
            <w:r/>
            <w:r>
              <w:rPr>
                <w:rFonts w:ascii="Arial" w:hAnsi="Arial" w:eastAsia="Arial" w:cs="Arial"/>
                <w:b w:val="0"/>
                <w:i w:val="0"/>
                <w:sz w:val="18"/>
              </w:rPr>
              <w:t>44,4%</w:t>
            </w:r>
          </w:p>
        </w:tc>
        <w:tc>
          <w:tcPr>
            <w:tcW w:type="dxa" w:w="1296"/>
          </w:tcPr>
          <w:p>
            <w:pPr>
              <w:spacing w:before="20" w:after="20" w:line="240" w:lineRule="auto"/>
              <w:jc w:val="center"/>
            </w:pPr>
            <w:r/>
            <w:r>
              <w:rPr>
                <w:rFonts w:ascii="Arial" w:hAnsi="Arial" w:eastAsia="Arial" w:cs="Arial"/>
                <w:b w:val="0"/>
                <w:i w:val="0"/>
                <w:sz w:val="18"/>
              </w:rPr>
              <w:t>+1,22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é notavelmente uniforme — de 179 a 206 mm em 2100 no cenário intermediário —, consequência direta da uniformidade do fator de impressão digital. A variação da elevação total entre estações, de 404 a 794 mm, é portanto produzida quase inteiramente pelo movimento vertical do terreno, e não por diferenças na resposta oceânica. Considerando os cinco cenários e os onze pontos, a parcela das calotas é de 30,5% em média em 2050 (18,7% a 47,9%) e de 37,2% em 2100 (25,6% a 55,6%).</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 estações nas quais a estimativa GNSS concorda com a taxa de fundo adotada pelo AR6 —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a concordância valida o conjunto, e não apenas uma de suas peças.</w:t>
      </w:r>
    </w:p>
    <w:p>
      <w:pPr>
        <w:spacing w:before="0" w:after="120" w:line="360" w:lineRule="auto"/>
        <w:ind w:firstLine="0"/>
        <w:jc w:val="both"/>
      </w:pPr>
      <w:r>
        <w:rPr>
          <w:rFonts w:ascii="Arial" w:hAnsi="Arial" w:eastAsia="Arial" w:cs="Arial"/>
          <w:b w:val="0"/>
          <w:i w:val="0"/>
          <w:sz w:val="24"/>
        </w:rPr>
        <w:t xml:space="preserve">Nas três estações restantes a cadeia diverge, e a origem é identificável: a diferença entre a velocidade vertical medida por GNSS e a taxa de fundo do AR6, multiplicada pelos 80 anos de projeção, explica de 85% a 103% da divergência. O caso mais relevante é Recife, onde duas estações GNSS com séries efetivas de 17 anos indicam subsidência de 3,05 ± 0,87 mm/ano, enquanto a taxa de fundo do AR6 indica leve soerguimento (+0,49 mm/ano).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00" w:after="80"/>
        <w:jc w:val="center"/>
      </w:pPr>
      <w:r>
        <w:drawing>
          <wp:inline xmlns:a="http://schemas.openxmlformats.org/drawingml/2006/main" xmlns:pic="http://schemas.openxmlformats.org/drawingml/2006/picture">
            <wp:extent cx="5760000" cy="3111604"/>
            <wp:docPr id="5" name="Picture 5"/>
            <wp:cNvGraphicFramePr>
              <a:graphicFrameLocks noChangeAspect="1"/>
            </wp:cNvGraphicFramePr>
            <a:graphic>
              <a:graphicData uri="http://schemas.openxmlformats.org/drawingml/2006/picture">
                <pic:pic>
                  <pic:nvPicPr>
                    <pic:cNvPr id="0" name="Figura_07_projecoes_locais.png"/>
                    <pic:cNvPicPr/>
                  </pic:nvPicPr>
                  <pic:blipFill>
                    <a:blip r:embed="rId13"/>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Impactos sobre a dinâmica costeira</w:t>
      </w:r>
    </w:p>
    <w:p>
      <w:pPr>
        <w:spacing w:before="0" w:after="120" w:line="360" w:lineRule="auto"/>
        <w:ind w:firstLine="709"/>
        <w:jc w:val="both"/>
      </w:pPr>
      <w:r>
        <w:rPr>
          <w:rFonts w:ascii="Arial" w:hAnsi="Arial" w:eastAsia="Arial" w:cs="Arial"/>
          <w:b w:val="0"/>
          <w:i w:val="0"/>
          <w:sz w:val="24"/>
        </w:rPr>
        <w:t>A Figura 6 traduz a elevação projetada em dinâmica costeira. Na Ilha Fiscal, com 51 anos de dados horários, o nível que hoje tem período de retorno de 100 anos — 1.456 mm acima do nível médio atual —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são corretos, mas pouco tangíveis, e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Convertida para a métrica operacional de dias de alagamento, contada hora a hora no próprio registro histórico deslocado pela elevação projetada, a Tabela 4 apresenta o resultado em grandeza diretamente verificável.</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Métricas operacionais de alagamento costeiro (cenário SSP2-4.5).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Nível de 100 anos hoje</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anual em 2100</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centenário em 2100</w:t>
            </w:r>
          </w:p>
        </w:tc>
        <w:tc>
          <w:tcPr>
            <w:tcW w:type="dxa" w:w="1814"/>
            <w:shd w:val="clear" w:color="auto" w:fill="EFEFEC"/>
          </w:tcPr>
          <w:p>
            <w:pPr>
              <w:spacing w:before="20" w:after="20" w:line="240" w:lineRule="auto"/>
              <w:jc w:val="center"/>
            </w:pPr>
            <w:r/>
            <w:r>
              <w:rPr>
                <w:rFonts w:ascii="Arial" w:hAnsi="Arial" w:eastAsia="Arial" w:cs="Arial"/>
                <w:b/>
                <w:i w:val="0"/>
                <w:sz w:val="18"/>
              </w:rPr>
              <w:t>Ano em que o nível centenário passa a ocorrer anualmente</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1.456 mm</w:t>
            </w:r>
          </w:p>
        </w:tc>
        <w:tc>
          <w:tcPr>
            <w:tcW w:type="dxa" w:w="1814"/>
          </w:tcPr>
          <w:p>
            <w:pPr>
              <w:spacing w:before="20" w:after="20" w:line="240" w:lineRule="auto"/>
              <w:jc w:val="center"/>
            </w:pPr>
            <w:r/>
            <w:r>
              <w:rPr>
                <w:rFonts w:ascii="Arial" w:hAnsi="Arial" w:eastAsia="Arial" w:cs="Arial"/>
                <w:b w:val="0"/>
                <w:i w:val="0"/>
                <w:sz w:val="18"/>
              </w:rPr>
              <w:t>11,3</w:t>
            </w:r>
          </w:p>
        </w:tc>
        <w:tc>
          <w:tcPr>
            <w:tcW w:type="dxa" w:w="1814"/>
          </w:tcPr>
          <w:p>
            <w:pPr>
              <w:spacing w:before="20" w:after="20" w:line="240" w:lineRule="auto"/>
              <w:jc w:val="center"/>
            </w:pPr>
            <w:r/>
            <w:r>
              <w:rPr>
                <w:rFonts w:ascii="Arial" w:hAnsi="Arial" w:eastAsia="Arial" w:cs="Arial"/>
                <w:b w:val="0"/>
                <w:i w:val="0"/>
                <w:sz w:val="18"/>
              </w:rPr>
              <w:t>0,3</w:t>
            </w:r>
          </w:p>
        </w:tc>
        <w:tc>
          <w:tcPr>
            <w:tcW w:type="dxa" w:w="1814"/>
          </w:tcPr>
          <w:p>
            <w:pPr>
              <w:spacing w:before="20" w:after="20" w:line="240" w:lineRule="auto"/>
              <w:jc w:val="center"/>
            </w:pPr>
            <w:r/>
            <w:r>
              <w:rPr>
                <w:rFonts w:ascii="Arial" w:hAnsi="Arial" w:eastAsia="Arial" w:cs="Arial"/>
                <w:b w:val="0"/>
                <w:i w:val="0"/>
                <w:sz w:val="18"/>
              </w:rPr>
              <w:t>2110</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1.775 mm</w:t>
            </w:r>
          </w:p>
        </w:tc>
        <w:tc>
          <w:tcPr>
            <w:tcW w:type="dxa" w:w="1814"/>
          </w:tcPr>
          <w:p>
            <w:pPr>
              <w:spacing w:before="20" w:after="20" w:line="240" w:lineRule="auto"/>
              <w:jc w:val="center"/>
            </w:pPr>
            <w:r/>
            <w:r>
              <w:rPr>
                <w:rFonts w:ascii="Arial" w:hAnsi="Arial" w:eastAsia="Arial" w:cs="Arial"/>
                <w:b w:val="0"/>
                <w:i w:val="0"/>
                <w:sz w:val="18"/>
              </w:rPr>
              <w:t>4,9</w:t>
            </w:r>
          </w:p>
        </w:tc>
        <w:tc>
          <w:tcPr>
            <w:tcW w:type="dxa" w:w="1814"/>
          </w:tcPr>
          <w:p>
            <w:pPr>
              <w:spacing w:before="20" w:after="20" w:line="240" w:lineRule="auto"/>
              <w:jc w:val="center"/>
            </w:pPr>
            <w:r/>
            <w:r>
              <w:rPr>
                <w:rFonts w:ascii="Arial" w:hAnsi="Arial" w:eastAsia="Arial" w:cs="Arial"/>
                <w:b w:val="0"/>
                <w:i w:val="0"/>
                <w:sz w:val="18"/>
              </w:rPr>
              <w:t>0,1</w:t>
            </w:r>
          </w:p>
        </w:tc>
        <w:tc>
          <w:tcPr>
            <w:tcW w:type="dxa" w:w="1814"/>
          </w:tcPr>
          <w:p>
            <w:pPr>
              <w:spacing w:before="20" w:after="20" w:line="240" w:lineRule="auto"/>
              <w:jc w:val="center"/>
            </w:pPr>
            <w:r/>
            <w:r>
              <w:rPr>
                <w:rFonts w:ascii="Arial" w:hAnsi="Arial" w:eastAsia="Arial" w:cs="Arial"/>
                <w:b w:val="0"/>
                <w:i w:val="0"/>
                <w:sz w:val="18"/>
              </w:rPr>
              <w:t>2116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w:t>
      </w:r>
    </w:p>
    <w:p>
      <w:pPr>
        <w:spacing w:before="0" w:after="120" w:line="360" w:lineRule="auto"/>
        <w:ind w:firstLine="709"/>
        <w:jc w:val="both"/>
      </w:pPr>
      <w:r>
        <w:rPr>
          <w:rFonts w:ascii="Arial" w:hAnsi="Arial" w:eastAsia="Arial" w:cs="Arial"/>
          <w:b w:val="0"/>
          <w:i w:val="0"/>
          <w:sz w:val="24"/>
        </w:rPr>
        <w:t xml:space="preserve">A magnitude da amplificação depende de uma propriedade local pouco discutida: a </w:t>
      </w:r>
      <w:r>
        <w:rPr>
          <w:rFonts w:ascii="Arial" w:hAnsi="Arial" w:eastAsia="Arial" w:cs="Arial"/>
          <w:b/>
          <w:i w:val="0"/>
          <w:sz w:val="24"/>
        </w:rPr>
        <w:t>largura da distribuição de níveis extremos</w:t>
      </w:r>
      <w:r>
        <w:rPr>
          <w:rFonts w:ascii="Arial" w:hAnsi="Arial" w:eastAsia="Arial" w:cs="Arial"/>
          <w:b w:val="0"/>
          <w:i w:val="0"/>
          <w:sz w:val="24"/>
        </w:rPr>
        <w:t xml:space="preserve">. Onde a maré astronômica domina e a variabilidade de ressaca é pequena, a distância entre o nível anual e o centenário é curta, e uma elevação modesta do nível médio desloca a distribuição por inteiro. Entre as seis estações analisadas, essa largura varia de 78 mm em Recife a 929 mm em Imbituba, e o fator de amplificação em 2100 varia de 10 a mais de 10⁵ na razão inversa: a correlação entre o logaritmo da largura e o logaritmo do fator é de </w:t>
      </w:r>
      <w:r>
        <w:rPr>
          <w:rFonts w:ascii="Arial" w:hAnsi="Arial" w:eastAsia="Arial" w:cs="Arial"/>
          <w:b/>
          <w:i w:val="0"/>
          <w:sz w:val="24"/>
        </w:rPr>
        <w:t>r = −0,986</w:t>
      </w:r>
      <w:r>
        <w:rPr>
          <w:rFonts w:ascii="Arial" w:hAnsi="Arial" w:eastAsia="Arial" w:cs="Arial"/>
          <w:b w:val="0"/>
          <w:i w:val="0"/>
          <w:sz w:val="24"/>
        </w:rPr>
        <w:t>. Em termos práticos, as cidades do Nordeste, de regime de extremos estreito e dominado pela maré, são as mais sensíveis à mesma elevação média — resultado que, apoiado em registros horários de 10 a 14 anos, deve ser lido como indicativo 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40" w:after="160" w:line="360" w:lineRule="auto"/>
        <w:ind w:firstLine="0"/>
        <w:jc w:val="left"/>
      </w:pPr>
      <w:r>
        <w:rPr>
          <w:rFonts w:ascii="Arial" w:hAnsi="Arial" w:eastAsia="Arial" w:cs="Arial"/>
          <w:b/>
          <w:i w:val="0"/>
          <w:sz w:val="24"/>
        </w:rPr>
        <w:t>4.7 Outros processos afetados, em caráter de discussão</w:t>
      </w:r>
    </w:p>
    <w:p>
      <w:pPr>
        <w:spacing w:before="0" w:after="120" w:line="360" w:lineRule="auto"/>
        <w:ind w:firstLine="709"/>
        <w:jc w:val="both"/>
      </w:pPr>
      <w:r>
        <w:rPr>
          <w:rFonts w:ascii="Arial" w:hAnsi="Arial" w:eastAsia="Arial" w:cs="Arial"/>
          <w:b w:val="0"/>
          <w:i w:val="0"/>
          <w:sz w:val="24"/>
        </w:rPr>
        <w:t>As duas subseções anteriores quantificam dois impactos. Outros processos costeiros respondem à mesma elevação sem que o presente trabalho os tenha modelado, e são registrados aqui como discussão, não como resultado, para que a distinção fique explícita.</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intrusão salina</w:t>
      </w:r>
      <w:r>
        <w:rPr>
          <w:rFonts w:ascii="Arial" w:hAnsi="Arial" w:eastAsia="Arial" w:cs="Arial"/>
          <w:b w:val="0"/>
          <w:i w:val="0"/>
          <w:sz w:val="24"/>
        </w:rPr>
        <w:t xml:space="preserve"> em estuários e aquíferos costeiros responde à elevação do nível de base: a cunha salina avança rio acima e a interface água doce-água salgada se desloca em direção ao continente. O efeito interage com a captação de água subterrânea, o que é particularmente relevante em Recife, onde a mesma extração que provavelmente explica a subsidência medida na seção 4.5 também rebaixa o nível freático. Os dois processos se reforçam.</w:t>
      </w:r>
    </w:p>
    <w:p>
      <w:pPr>
        <w:spacing w:before="0" w:after="120" w:line="360" w:lineRule="auto"/>
        <w:ind w:firstLine="709"/>
        <w:jc w:val="both"/>
      </w:pPr>
      <w:r>
        <w:rPr>
          <w:rFonts w:ascii="Arial" w:hAnsi="Arial" w:eastAsia="Arial" w:cs="Arial"/>
          <w:b w:val="0"/>
          <w:i w:val="0"/>
          <w:sz w:val="24"/>
        </w:rPr>
        <w:t xml:space="preserve">Os </w:t>
      </w:r>
      <w:r>
        <w:rPr>
          <w:rFonts w:ascii="Arial" w:hAnsi="Arial" w:eastAsia="Arial" w:cs="Arial"/>
          <w:b/>
          <w:i w:val="0"/>
          <w:sz w:val="24"/>
        </w:rPr>
        <w:t>manguezais</w:t>
      </w:r>
      <w:r>
        <w:rPr>
          <w:rFonts w:ascii="Arial" w:hAnsi="Arial" w:eastAsia="Arial" w:cs="Arial"/>
          <w:b w:val="0"/>
          <w:i w:val="0"/>
          <w:sz w:val="24"/>
        </w:rPr>
        <w:t xml:space="preserve"> ocupam posição intermediária entre a terra e o mar e acompanham a elevação enquanto a acreção de sedimento for suficiente; quando a taxa de elevação supera a de acreção, ou quando a migração para o interior é barrada por ocupação urbana, o sistema se afoga. A Baía de Guanabara, onde se situa a Ilha Fiscal, reúne as duas condições desfavoráveis.</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infraestrutura exposta</w:t>
      </w:r>
      <w:r>
        <w:rPr>
          <w:rFonts w:ascii="Arial" w:hAnsi="Arial" w:eastAsia="Arial" w:cs="Arial"/>
          <w:b w:val="0"/>
          <w:i w:val="0"/>
          <w:sz w:val="24"/>
        </w:rPr>
        <w:t xml:space="preserve"> inclui o porto de Santos, o maior da América Latina, que está entre os onze pontos analisados e para o qual se projeta elevação de 0,46 m até 2100 no cenário intermediário. Elevação dessa ordem não inviabiliza a operação portuária, mas altera cotas de projeto de cais, sistemas de drenagem e acessos, cujo dimensionamento foi feito para um regime de extremos que a seção 4.6 mostra estar em mudança.</w:t>
      </w:r>
    </w:p>
    <w:p>
      <w:pPr>
        <w:spacing w:before="0" w:after="120" w:line="360" w:lineRule="auto"/>
        <w:ind w:firstLine="709"/>
        <w:jc w:val="both"/>
      </w:pPr>
      <w:r>
        <w:rPr>
          <w:rFonts w:ascii="Arial" w:hAnsi="Arial" w:eastAsia="Arial" w:cs="Arial"/>
          <w:b w:val="0"/>
          <w:i w:val="0"/>
          <w:sz w:val="24"/>
        </w:rPr>
        <w:t>Quantificar esses três processos exigiria, respectivamente, modelagem hidrogeológica, levantamento de taxas de acreção sedimentar e cadastro de cotas de infraestrutura — dados que não foram reunidos aqui. A menção serve para situar o alcance do que foi medido, e não para sugerir que foi medido mais do que de fato o foi.</w:t>
      </w:r>
    </w:p>
    <w:p>
      <w:pPr>
        <w:spacing w:before="200" w:after="80"/>
        <w:jc w:val="center"/>
      </w:pPr>
      <w:r>
        <w:drawing>
          <wp:inline xmlns:a="http://schemas.openxmlformats.org/drawingml/2006/main" xmlns:pic="http://schemas.openxmlformats.org/drawingml/2006/picture">
            <wp:extent cx="5760000" cy="2801577"/>
            <wp:docPr id="6" name="Picture 6"/>
            <wp:cNvGraphicFramePr>
              <a:graphicFrameLocks noChangeAspect="1"/>
            </wp:cNvGraphicFramePr>
            <a:graphic>
              <a:graphicData uri="http://schemas.openxmlformats.org/drawingml/2006/picture">
                <pic:pic>
                  <pic:nvPicPr>
                    <pic:cNvPr id="0" name="Figura_08_extremos_recuo.png"/>
                    <pic:cNvPicPr/>
                  </pic:nvPicPr>
                  <pic:blipFill>
                    <a:blip r:embed="rId14"/>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nem aplica declusterização, de modo que as taxas não devem ser lidas como número de tempestades independentes. As velocidades GNSS cobrem de 8 a 21 anos e são extrapoladas como constantes até 2100, hipótese razoável para processos geológicos mas questionável onde a subsidência decorre de extração de água subterrânea. O emulador reproduz mal a resposta antártica, pelo motivo discutido na seção 4.4,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Nesses três casos é a restrição imposta, e não a observação, que fixa o valor; a consequência é que o coeficiente de sensibilidade centenário tem incerteza larga (seção 4.4) e que a via A amortece a aceleração projetada, o que reforça sua leitura como limite inferior. O forçante é suavizado por média móvel centrada, escolha que mantém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 o resultado de V3 é, portanto, condicionado à convenção de suavização, e não deve ser lido como propriedade invariante do emulador. Por fim, apenas duas estações brasileiras possuem registro longo o bastante para o teste de fechamento local —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desempenho de validação não é evidência de que se está aprendendo a grandeza certa. Independentemente da estação, porém, seis dos quinze algoritmos são estruturalmente incapazes de gerar valor fora da faixa de treino, o que os exclui de qualquer tarefa de projeção.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instalar e manter estações GNSS colocalizadas com os marégrafos brasileiros, requisito para qualquer atribuição confiável; e incorporar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2026-10-30T07:52:58Z</dcterms:created>
  <dcterms:modified xsi:type="dcterms:W3CDTF">2026-10-30T07:52:58Z</dcterms:modified>
  <cp:category/>
</cp:coreProperties>
</file>