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120" w:line="360" w:lineRule="auto"/>
        <w:ind w:firstLine="709"/>
        <w:jc w:val="both"/>
      </w:pPr>
      <w:r>
        <w:rPr>
          <w:rFonts w:ascii="Arial" w:hAnsi="Arial" w:eastAsia="Arial" w:cs="Arial"/>
          <w:b w:val="0"/>
          <w:i w:val="0"/>
          <w:sz w:val="24"/>
        </w:rPr>
        <w:t>Luiz Tonny Moura Santos¹; Vinícius Nunes Benedito¹; Kauan Henrique Teixeira¹;</w:t>
      </w:r>
    </w:p>
    <w:p>
      <w:pPr>
        <w:spacing w:before="0" w:after="120" w:line="360" w:lineRule="auto"/>
        <w:ind w:firstLine="709"/>
        <w:jc w:val="both"/>
      </w:pPr>
      <w:r>
        <w:rPr>
          <w:rFonts w:ascii="Arial" w:hAnsi="Arial" w:eastAsia="Arial" w:cs="Arial"/>
          <w:b w:val="0"/>
          <w:i w:val="0"/>
          <w:sz w:val="24"/>
        </w:rPr>
        <w:t>Pedro Henrique Pereira Boldrin¹; Mateus da Silva Vieira¹; [Nome completo do 6º integrante]¹;</w:t>
      </w:r>
    </w:p>
    <w:p>
      <w:pPr>
        <w:spacing w:before="0" w:after="120" w:line="360" w:lineRule="auto"/>
        <w:ind w:firstLine="709"/>
        <w:jc w:val="both"/>
      </w:pPr>
      <w:r>
        <w:rPr>
          <w:rFonts w:ascii="Arial" w:hAnsi="Arial" w:eastAsia="Arial" w:cs="Arial"/>
          <w:b w:val="0"/>
          <w:i w:val="0"/>
          <w:sz w:val="24"/>
        </w:rPr>
        <w:t>[Nome completo do 7º integrante]¹; Prof. Dr. Renato Gonçalves Rocha²</w:t>
      </w:r>
    </w:p>
    <w:p>
      <w:pPr>
        <w:spacing w:before="0" w:after="60" w:line="240" w:lineRule="auto"/>
        <w:ind w:firstLine="0"/>
        <w:jc w:val="center"/>
      </w:pPr>
      <w:r>
        <w:rPr>
          <w:rFonts w:ascii="Arial" w:hAnsi="Arial" w:eastAsia="Arial" w:cs="Arial"/>
          <w:b w:val="0"/>
          <w:i w:val="0"/>
          <w:sz w:val="22"/>
        </w:rPr>
        <w:t>¹ Curso de Ciência da Computação, Universidade de Franca (UNIFRAN), Franca, São Paulo, Brasil.</w:t>
      </w:r>
    </w:p>
    <w:p>
      <w:pPr>
        <w:spacing w:before="0" w:after="60" w:line="240" w:lineRule="auto"/>
        <w:ind w:firstLine="0"/>
        <w:jc w:val="center"/>
      </w:pPr>
      <w:r>
        <w:rPr>
          <w:rFonts w:ascii="Arial" w:hAnsi="Arial" w:eastAsia="Arial" w:cs="Arial"/>
          <w:b w:val="0"/>
          <w:i w:val="0"/>
          <w:sz w:val="22"/>
        </w:rPr>
        <w:t>² Professor Orientador, Universidade de Franca (UNIFRAN), Franca, São Paulo,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0"/>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um valor constante</w:t>
      </w:r>
      <w:r>
        <w:rPr>
          <w:rFonts w:ascii="Arial" w:hAnsi="Arial" w:eastAsia="Arial" w:cs="Arial"/>
          <w:b w:val="0"/>
          <w:i w:val="0"/>
          <w:sz w:val="24"/>
        </w:rPr>
        <w:t xml:space="preserve">, idêntico em 2030, 2050 e 2100: a persistência, o gradient boosting e as árvores extremas devolvem exatamente o valor observado em 2018 (9,78 mm); a floresta aleatória devolve 9,19, o k-vizinhos 7,74 e a média do treino −26,3, cada um preso à sua própria constante.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2026-10-30T07:52:58Z</dcterms:created>
  <dcterms:modified xsi:type="dcterms:W3CDTF">2026-10-30T07:52:58Z</dcterms:modified>
  <cp:category/>
</cp:coreProperties>
</file>