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excede provavelmente a média do século XX, com 93% de probabilidade e magnitude mal determinada (razão com mediana de 5,0 e intervalo de 95% de 0 a 13,6), e é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most likely exceeds the twentieth-century average, with 93% probability but poorly determined magnitude (ratio median 5.0, 95% interval 0 to 13.6), and is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a linear de Rahmstorf (2007) para os três componentes de massa; para o termo estérico a validação selecionou a forma de potência, cujo expoente ajustado convergiu para o limite inferior do intervalo admitido (q = 1,00), de modo que ela também se reduz, na prática, à forma linear.</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(r = −0,98 com a latitude; a única inversão, de 1,263 para 1,257 entre 22,9° S e 23,5° S, é de 0,5%),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um valor constante</w:t>
      </w:r>
      <w:r>
        <w:rPr>
          <w:rFonts w:ascii="Arial" w:hAnsi="Arial" w:eastAsia="Arial" w:cs="Arial"/>
          <w:b w:val="0"/>
          <w:i w:val="0"/>
          <w:sz w:val="24"/>
        </w:rPr>
        <w:t xml:space="preserve">, idêntico em 2030, 2050 e 2100 — três deles exatamente o valor observado em 2018, e os outros três uma constante diferente dele.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0"/>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contudo,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E o denominador não é constante: o bootstrap do ajuste centenário devolve intervalo de 95% de 0,123 a 0,431 mm/ano por kelvin para esse coeficiente, porque o parâmetro de limiar T₀ do ajuste da Groenlândia converge para o extremo do intervalo admitido (seção 4.8). Propagando as duas incertezas, a razão tem mediana de 5,0 e intervalo de 95% de 0 a 13,6, com probabilidade de 93% de exceder a unidade. O que os dados sustentam é, portanto,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abaixo do valor central observado no período de satélite. A diferença, de +0,302 mm/ano por kelvin, equivale a 0,60σ da incerteza do valor observado (p = 0,55): as duas estimativas são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o recíproco, que já é informativo: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Nesses três casos é a restrição imposta, e não a observação, que fixa o valor; a consequência é que o coeficiente de sensibilidade centenário tem incerteza larga (seção 4.4) e que a via A amortece a aceleração projetada, o que reforça sua leitura como limite inferior. O forçante é suavizado por média móvel centrada, escolha que mantém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 o resultado de V3 é, portanto, condicionado à convenção de suavização, e não deve ser lido como propriedade invariante do emulador.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2026-10-30T06:58:39Z</dcterms:created>
  <dcterms:modified xsi:type="dcterms:W3CDTF">2026-10-30T06:58:39Z</dcterms:modified>
  <cp:category/>
</cp:coreProperties>
</file>