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 ATRIBUIÇÃO POR IMPRESSÃO DIGITAL DO NÍVEL DO MAR E VALIDAÇÃO EM CINCO ETAPAS</w:t>
      </w:r>
    </w:p>
    <w:p>
      <w:pPr>
        <w:spacing w:before="0" w:after="60" w:line="240" w:lineRule="auto"/>
        <w:ind w:firstLine="0"/>
        <w:jc w:val="center"/>
      </w:pPr>
      <w:r>
        <w:rPr>
          <w:rFonts w:ascii="Arial" w:hAnsi="Arial" w:eastAsia="Arial" w:cs="Arial"/>
          <w:b w:val="0"/>
          <w:i w:val="0"/>
          <w:sz w:val="22"/>
        </w:rPr>
        <w:t>Nome Completo do Aluno 1¹; Nome Completo do Aluno 2¹; Nome Completo do Aluno 3¹;</w:t>
      </w:r>
    </w:p>
    <w:p>
      <w:pPr>
        <w:spacing w:before="0" w:after="60" w:line="240" w:lineRule="auto"/>
        <w:ind w:firstLine="0"/>
        <w:jc w:val="center"/>
      </w:pPr>
      <w:r>
        <w:rPr>
          <w:rFonts w:ascii="Arial" w:hAnsi="Arial" w:eastAsia="Arial" w:cs="Arial"/>
          <w:b w:val="0"/>
          <w:i w:val="0"/>
          <w:sz w:val="22"/>
        </w:rPr>
        <w:t>Nome Completo do Aluno 4¹; Nome Completo do Aluno 5¹; Nome Completo do Aluno 6¹;</w:t>
      </w:r>
    </w:p>
    <w:p>
      <w:pPr>
        <w:spacing w:before="0" w:after="60" w:line="240" w:lineRule="auto"/>
        <w:ind w:firstLine="0"/>
        <w:jc w:val="center"/>
      </w:pPr>
      <w:r>
        <w:rPr>
          <w:rFonts w:ascii="Arial" w:hAnsi="Arial" w:eastAsia="Arial" w:cs="Arial"/>
          <w:b w:val="0"/>
          <w:i w:val="0"/>
          <w:sz w:val="22"/>
        </w:rPr>
        <w:t>Prof. Dr. Renato Gonçalves Rocha²</w:t>
      </w:r>
    </w:p>
    <w:p>
      <w:pPr>
        <w:spacing w:before="0" w:after="60" w:line="240" w:lineRule="auto"/>
        <w:ind w:firstLine="0"/>
        <w:jc w:val="center"/>
      </w:pPr>
      <w:r>
        <w:rPr>
          <w:rFonts w:ascii="Arial" w:hAnsi="Arial" w:eastAsia="Arial" w:cs="Arial"/>
          <w:b w:val="0"/>
          <w:i w:val="0"/>
          <w:sz w:val="22"/>
        </w:rPr>
        <w:t>¹ Curso de ____________________, Nome da Instituição, Cidade, Estado, Brasil.</w:t>
      </w:r>
    </w:p>
    <w:p>
      <w:pPr>
        <w:spacing w:before="0" w:after="60" w:line="240" w:lineRule="auto"/>
        <w:ind w:firstLine="0"/>
        <w:jc w:val="center"/>
      </w:pPr>
      <w:r>
        <w:rPr>
          <w:rFonts w:ascii="Arial" w:hAnsi="Arial" w:eastAsia="Arial" w:cs="Arial"/>
          <w:b w:val="0"/>
          <w:i w:val="0"/>
          <w:sz w:val="22"/>
        </w:rPr>
        <w:t>² Professor Orientador, Nome da Instituição, Cidade, Estado,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A perda de massa polar foi convertida em elevação local por meio das impressões digitais do nível do mar, que descrevem a resposta gravitacional, rotacional e elástica da Terra sólida à redistribuição de massa, calculadas a partir de campos espaciais publicados em grade de 0,5°. O movimento vertical do terreno foi medido de forma independente por 27 estações GNSS próximas a onze pontos do litoral. Um emulador semi-empírico, que aprende a relação entre temperatura média global e taxa de perda de massa em vez da forma da curva no tempo, foi calibrado com 119 anos de observação e acionado pelas trajetórias de temperatura do IPCC AR6. A cadeia foi submetida a cinco testes independentes de validação. Os resultados mostram que a costa brasileira recebe, em média, 1,12 vez a elevação média global causada pelo degelo polar, com variação de apenas 12,8% ao longo de 4.000 km porque os gradientes opostos da Groenlândia e da Antártica se compensam; que o orçamento do nível do mar fecha na Ilha Fiscal mas é rejeitado em Cananéia, estação cuja regressão apresentava o melhor ajuste estatístico; que o desempenho dos quinze algoritmos preditivos testados varia em sentido oposto nas duas séries maregráficas longas do país, conforme a razão sinal-ruído de cada uma e não conforme o algoritmo, e que a estação em que eles têm bom desempenho é justamente a que o teste físico rejeita, sendo seis deles estruturalmente incapazes de extrapolar; e que a sensibilidade da Groenlândia ao aquecimento no período de satélite excede provavelmente a média do século XX, com 93% de probabilidade e magnitude mal determinada (razão com mediana de 5,0 e intervalo de 95% de 0 a 13,6), sendo compatível com a implícita nas projeções processuais, cuja magnitude fica assim sustentada de forma independente. Projeta-se, no cenário intermediário, elevação de 0,40 a 0,79 m até 2100 nos onze pontos analisados, dos quais 26% a 44% atribuíveis às calotas polares, recuo potencial de linha de costa de 20 a 79 m em praias arenosas e multiplicação por 184 a 806 da frequência do nível extremo hoje centenário no Rio de Janeiro. Mediu-se ainda subsidência de 3,05 ± 0,87 mm/ano em Recife, valor que as projeções oficiais não incorporam e que implica subestimação de aproximadamente 28 cm na elevação relativa projetada para aquela cidade até 2100.</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Polar mass loss was converted into local rise using sea-level fingerprints, which describe the gravitational, rotational and elastic response of the solid Earth to mass redistribution, computed from published spatial fields on a 0.5° grid. Vertical land motion was independently measured from 27 GNSS stations near eleven coastal sites. A semi-empirical emulator, which learns the relationship between global mean temperature and mass-loss rate rather than the shape of the curve in time, was calibrated on 119 years of observations and driven by IPCC AR6 temperature pathways. The chain underwent five independent validation tests. Results show that the Brazilian coast receives on average 1.12 times the global mean rise caused by polar melt, varying by only 12.8% over 4,000 km because the opposing Greenland and Antarctic gradients cancel; that the sea-level budget closes at Ilha Fiscal but is rejected at Cananéia, the station whose regression showed the best statistical fit; that the performance of fifteen predictive algorithms diverges in opposite directions between the country's two long tide-gauge series, driven by each record's signal-to-noise ratio rather than by the algorithm, with the station where they perform well being precisely the one the physical test rejects, and six being structurally unable to extrapolate; and that Greenland's sensitivity to warming during the satellite era most likely exceeds the twentieth-century average, with 93% probability but poorly determined magnitude (ratio median 5.0, 95% interval 0 to 13.6), being consistent with the sensitivity implicit in process-based projections, whose magnitude is thereby independently supported. Under the intermediate scenario, projected rise by 2100 at the eleven sites ranges from 0.40 to 0.79 m, of which 26% to 44% is attributable to polar ice sheets, implying potential shoreline retreat of 20 to 79 m on sandy beaches and a 184- to 806-fold increase in the frequency of the present-day one-in-a-century extreme level in Rio de Janeiro. Subsidence of 3.05 ± 0.87 mm/yr was measured at Recife, a value not incorporated in official projections, implying an underestimation of about 28 cm in projected relative sea-level rise for that city by 2100.</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uma questão quantitativa. Afirmar que o degelo da Groenlândia ameaça as cidades costeiras do Brasil exige responder a três perguntas distintas: quanta água o degelo efetivamente acrescenta ao oceano, quanto dessa água chega à costa brasileira, e quanto da elevação medida pelos marégrafos brasileiros se deve a esse processo e não a outros. As três perguntas têm respostas diferentes, e nenhuma delas é a média global.</w:t>
      </w:r>
    </w:p>
    <w:p>
      <w:pPr>
        <w:spacing w:before="0" w:after="120" w:line="360" w:lineRule="auto"/>
        <w:ind w:firstLine="709"/>
        <w:jc w:val="both"/>
      </w:pPr>
      <w:r>
        <w:rPr>
          <w:rFonts w:ascii="Arial" w:hAnsi="Arial" w:eastAsia="Arial" w:cs="Arial"/>
          <w:b w:val="0"/>
          <w:i w:val="0"/>
          <w:sz w:val="24"/>
        </w:rPr>
        <w:t>A primeira pergunta tem resposta observacional consolidada. Entre 1992 e 2020, os mantos de gelo da Groenlândia e da Antártica perderam cerca de 7.560 bilhões de toneladas de gelo, elevando o nível médio global do mar em aproximadamente 21 mm, com a taxa de perda mais que triplicando ao longo do período (OTOSAKA et al., 2023).</w:t>
      </w:r>
    </w:p>
    <w:p>
      <w:pPr>
        <w:spacing w:before="0" w:after="120" w:line="360" w:lineRule="auto"/>
        <w:ind w:firstLine="0"/>
        <w:jc w:val="both"/>
      </w:pPr>
      <w:r>
        <w:rPr>
          <w:rFonts w:ascii="Arial" w:hAnsi="Arial" w:eastAsia="Arial" w:cs="Arial"/>
          <w:b w:val="0"/>
          <w:i w:val="0"/>
          <w:sz w:val="24"/>
        </w:rPr>
        <w:t xml:space="preserve">A segunda pergunta é menos conhecida e é onde reside a maior parte do mal-entendido. A água liberada por um manto de gelo não se distribui uniformemente pelos oceanos. A perda de massa reduz a atração gravitacional que o gelo exercia sobre a água vizinha, alivia o peso sobre a crosta, que sobe elasticamente, e desloca ligeiramente o eixo de rotação do planeta. O resultado conjunto é que, nas águas próximas à fonte de degelo,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ele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é chamada de impressão digital do nível do mar. O Brasil está no campo distante tanto da Groenlândia quanto da Antártica, o que significa que recebe mais do que a média global — mas quanto mais, e se esse fator varia ao longo dos mais de 7.000 km de litoral, são questões que a literatura brasileira sobre impactos costeiros menciona qualitativamente (ROFFMAN; GOMEZ; YOUSEFI, 2023) sem quantificar.</w:t>
      </w:r>
    </w:p>
    <w:p>
      <w:pPr>
        <w:spacing w:before="0" w:after="120" w:line="360" w:lineRule="auto"/>
        <w:ind w:firstLine="709"/>
        <w:jc w:val="both"/>
      </w:pPr>
      <w:r>
        <w:rPr>
          <w:rFonts w:ascii="Arial" w:hAnsi="Arial" w:eastAsia="Arial" w:cs="Arial"/>
          <w:b w:val="0"/>
          <w:i w:val="0"/>
          <w:sz w:val="24"/>
        </w:rPr>
        <w:t xml:space="preserve">A terceira pergunta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xml:space="preserve"> do mar: a altura da água em relação a um marco fixado em terra. Se o terreno afunda, o aparelho registra elevação mesmo que o volume do oceano não mude. Sem uma medida independente do movimento vertical do terreno, a tendência observada não pode ser atribuída a causa alguma. O Painel Brasileiro de Mudanças Climáticas já apontava essa limitação, somada à escassez de séries históricas contínuas no país (PBMC, 2016).</w:t>
      </w:r>
    </w:p>
    <w:p>
      <w:pPr>
        <w:spacing w:before="0" w:after="120" w:line="360" w:lineRule="auto"/>
        <w:ind w:firstLine="709"/>
        <w:jc w:val="both"/>
      </w:pPr>
      <w:r>
        <w:rPr>
          <w:rFonts w:ascii="Arial" w:hAnsi="Arial" w:eastAsia="Arial" w:cs="Arial"/>
          <w:b w:val="0"/>
          <w:i w:val="0"/>
          <w:sz w:val="24"/>
        </w:rPr>
        <w:t>A essas três lacunas soma-se uma quarta, de natureza metodológica e diretamente ligada ao escopo deste trabalho. A expectativa corrente é que técnicas de aprendizado de máquina, aplicadas a séries históricas, produzam projeções climáticas confiáveis. Revisões recentes da aplicação dessas técnicas ao nível do mar recomendam, ao contrário, abordagens híbridas que combinem física e aprendizado para previsões regionais de longo prazo (AYINDE et al., 2024). Essa recomendação, porém, é habitualmente aceita por autoridade, sem que se demonstre com números por que a abordagem puramente estatística falha.</w:t>
      </w:r>
    </w:p>
    <w:p>
      <w:pPr>
        <w:spacing w:before="0" w:after="120" w:line="360" w:lineRule="auto"/>
        <w:ind w:firstLine="709"/>
        <w:jc w:val="both"/>
      </w:pPr>
      <w:r>
        <w:rPr>
          <w:rFonts w:ascii="Arial" w:hAnsi="Arial" w:eastAsia="Arial" w:cs="Arial"/>
          <w:b w:val="0"/>
          <w:i w:val="0"/>
          <w:sz w:val="24"/>
        </w:rPr>
        <w:t>O presente trabalho tem por objetivo construir, validar e aplicar uma cadeia preditiva que responda às três primeiras perguntas de forma quantitativa para a costa brasileira, e que, ao fazê-lo, submeta a quarta a teste experimental explícito. A contribuição pretendida não é apresentar mais uma projeção de elevação do mar — projeções oficiais já existem —, e sim decompor essa elevação, atribuindo a cada processo físico a parcela que lhe cabe em cada ponto do litoral, e demonstrar, etapa por etapa, que cada elo da cadeia reproduz observações independentes.</w:t>
      </w:r>
    </w:p>
    <w:p>
      <w:pPr>
        <w:spacing w:before="360" w:after="200" w:line="360" w:lineRule="auto"/>
        <w:ind w:firstLine="0"/>
        <w:jc w:val="left"/>
      </w:pPr>
      <w:r>
        <w:rPr>
          <w:rFonts w:ascii="Arial" w:hAnsi="Arial" w:eastAsia="Arial" w:cs="Arial"/>
          <w:b/>
          <w:i w:val="0"/>
          <w:sz w:val="24"/>
        </w:rPr>
        <w:t>2 FUNDAMENTAÇÃO TEÓRICA E TRABALHOS RELACIONADOS</w:t>
      </w:r>
    </w:p>
    <w:p>
      <w:pPr>
        <w:spacing w:before="240" w:after="160" w:line="360" w:lineRule="auto"/>
        <w:ind w:firstLine="0"/>
        <w:jc w:val="left"/>
      </w:pPr>
      <w:r>
        <w:rPr>
          <w:rFonts w:ascii="Arial" w:hAnsi="Arial" w:eastAsia="Arial" w:cs="Arial"/>
          <w:b/>
          <w:i w:val="0"/>
          <w:sz w:val="24"/>
        </w:rPr>
        <w:t>2.1 Orçamento do nível do mar</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de montanha e armazenamento de água continental; e a variação do volume ocupado por essa massa, chamada contribuição estérica, decorrente da expansão térmica e de mudanças de salinidade (GREGORY et al., 2019). A soma dessas contribuições deve igualar a elevação observada; verificar essa igualdade é o que se chama fechamento do orçamento do nível do mar, e constitui o teste padrão de consistência física do conjunto de observações (WCRP GLOBAL SEA LEVEL BUDGET GROUP, 2018). Frederikse et al. (2020) reconstruíram esse orçamento desde 1900, disponibilizando tanto as séries globais e por bacia oceânica quanto os campos espaciais de cada processo.</w:t>
      </w:r>
    </w:p>
    <w:p>
      <w:pPr>
        <w:spacing w:before="240" w:after="160" w:line="360" w:lineRule="auto"/>
        <w:ind w:firstLine="0"/>
        <w:jc w:val="left"/>
      </w:pPr>
      <w:r>
        <w:rPr>
          <w:rFonts w:ascii="Arial" w:hAnsi="Arial" w:eastAsia="Arial" w:cs="Arial"/>
          <w:b/>
          <w:i w:val="0"/>
          <w:sz w:val="24"/>
        </w:rPr>
        <w:t>2.2 Impressões digitais do nível do mar</w:t>
      </w:r>
    </w:p>
    <w:p>
      <w:pPr>
        <w:spacing w:before="0" w:after="120" w:line="360" w:lineRule="auto"/>
        <w:ind w:firstLine="709"/>
        <w:jc w:val="both"/>
      </w:pPr>
      <w:r>
        <w:rPr>
          <w:rFonts w:ascii="Arial" w:hAnsi="Arial" w:eastAsia="Arial" w:cs="Arial"/>
          <w:b w:val="0"/>
          <w:i w:val="0"/>
          <w:sz w:val="24"/>
        </w:rPr>
        <w:t xml:space="preserve">A equação do nível do mar descreve a resposta elástica e gravitacional da Terra à redistribuição de massa superficial. Resolvida para a perda de massa de um manto de gelo, produz um campo espacial característico: queda do nível relativo nas proximidades da fonte, que pode superar em muitas vezes a média global em magnitude e ter sinal oposto,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w:t>
      </w:r>
    </w:p>
    <w:p>
      <w:pPr>
        <w:spacing w:before="240" w:after="160" w:line="360" w:lineRule="auto"/>
        <w:ind w:firstLine="0"/>
        <w:jc w:val="left"/>
      </w:pPr>
      <w:r>
        <w:rPr>
          <w:rFonts w:ascii="Arial" w:hAnsi="Arial" w:eastAsia="Arial" w:cs="Arial"/>
          <w:b/>
          <w:i w:val="0"/>
          <w:sz w:val="24"/>
        </w:rPr>
        <w:t>2.3 Nível relativo e movimento vertical do terreno</w:t>
      </w:r>
    </w:p>
    <w:p>
      <w:pPr>
        <w:spacing w:before="0" w:after="120" w:line="360" w:lineRule="auto"/>
        <w:ind w:firstLine="709"/>
        <w:jc w:val="both"/>
      </w:pPr>
      <w:r>
        <w:rPr>
          <w:rFonts w:ascii="Arial" w:hAnsi="Arial" w:eastAsia="Arial" w:cs="Arial"/>
          <w:b w:val="0"/>
          <w:i w:val="0"/>
          <w:sz w:val="24"/>
        </w:rPr>
        <w:t>A tendência de nível relativo registrada por um marégrafo relaciona-se à tendência geocêntrica do nível do mar pela subtração da velocidade vertical do terreno. Essa velocidade pode ser medida diretamente por posicionamento por satélite. O conjunto de velocidades MIDAS do Nevada Geodetic Laboratory fornece estimativas robustas a degraus instrumentais para a totalidade da rede GNSS global no referencial IGS14 (BLEWITT et al., 2016), e constitui a fonte independente necessária para separar oceano e terreno.</w:t>
      </w:r>
    </w:p>
    <w:p>
      <w:pPr>
        <w:spacing w:before="240" w:after="160" w:line="360" w:lineRule="auto"/>
        <w:ind w:firstLine="0"/>
        <w:jc w:val="left"/>
      </w:pPr>
      <w:r>
        <w:rPr>
          <w:rFonts w:ascii="Arial" w:hAnsi="Arial" w:eastAsia="Arial" w:cs="Arial"/>
          <w:b/>
          <w:i w:val="0"/>
          <w:sz w:val="24"/>
        </w:rPr>
        <w:t>2.4 Modelagem preditiva e o limite da extrapolação</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de aprender 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 que é a conexão direta entre este tema e as técnicas de inteligência artificial aplicadas ao clima.</w:t>
      </w:r>
    </w:p>
    <w:p>
      <w:pPr>
        <w:spacing w:before="240" w:after="160" w:line="360" w:lineRule="auto"/>
        <w:ind w:firstLine="0"/>
        <w:jc w:val="left"/>
      </w:pPr>
      <w:r>
        <w:rPr>
          <w:rFonts w:ascii="Arial" w:hAnsi="Arial" w:eastAsia="Arial" w:cs="Arial"/>
          <w:b/>
          <w:i w:val="0"/>
          <w:sz w:val="24"/>
        </w:rPr>
        <w:t>2.5 Dinâmica costeira</w:t>
      </w:r>
    </w:p>
    <w:p>
      <w:pPr>
        <w:spacing w:before="0" w:after="120" w:line="360" w:lineRule="auto"/>
        <w:ind w:firstLine="0"/>
        <w:jc w:val="both"/>
      </w:pPr>
      <w:r>
        <w:rPr>
          <w:rFonts w:ascii="Arial" w:hAnsi="Arial" w:eastAsia="Arial" w:cs="Arial"/>
          <w:b w:val="0"/>
          <w:i w:val="0"/>
          <w:sz w:val="24"/>
        </w:rPr>
        <w:t xml:space="preserve">A elevação média do nível do mar atua sobre a costa por dois caminhos. O primeiro é morfológico: segundo 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uma distância R = S/tanβ, em que tanβ é a declividade do perfil ativo; como esse inverso é tipicamente de 20 a 200, o recuo é uma a duas ordens de grandeza maior que a elevação. O modelo é objeto de crítica consolidada (COOPER; PILKEY, 2004) e deve ser lido como ordem de grandeza, não como previsão local. O segundo caminho é probabilístico: como a cauda da distribuição dos níveis extremos decai de forma aproximadamente exponencial, um deslocamento modesto do nível médio multiplica de forma exponencial a frequência de excedência de um limiar fixo (VITOUSEK et al., 2017; TAHERKHANI et al., 2020). É por esse segundo caminho que decímetros de elevação se convertem em mudanças de regime de inundação.</w:t>
      </w:r>
    </w:p>
    <w:p>
      <w:pPr>
        <w:spacing w:before="240" w:after="160" w:line="360" w:lineRule="auto"/>
        <w:ind w:firstLine="0"/>
        <w:jc w:val="left"/>
      </w:pPr>
      <w:r>
        <w:rPr>
          <w:rFonts w:ascii="Arial" w:hAnsi="Arial" w:eastAsia="Arial" w:cs="Arial"/>
          <w:b/>
          <w:i w:val="0"/>
          <w:sz w:val="24"/>
        </w:rPr>
        <w:t>2.6 A lacuna</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para reconstruir as causas da elevação do nível do mar desde 1900 revelou que </w:t>
      </w:r>
      <w:r>
        <w:rPr>
          <w:rFonts w:ascii="Arial" w:hAnsi="Arial" w:eastAsia="Arial" w:cs="Arial"/>
          <w:b/>
          <w:i w:val="0"/>
          <w:sz w:val="24"/>
        </w:rPr>
        <w:t>nenhuma delas é brasileira</w:t>
      </w:r>
      <w:r>
        <w:rPr>
          <w:rFonts w:ascii="Arial" w:hAnsi="Arial" w:eastAsia="Arial" w:cs="Arial"/>
          <w:b w:val="0"/>
          <w:i w:val="0"/>
          <w:sz w:val="24"/>
        </w:rPr>
        <w:t>. Na bacia do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o presente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Todo o processamento foi implementado em Python; os dados brutos, os scripts e os resultados intermediários estão organizados em repositório com registro de proveniência (URL, data de acesso e soma de verificação criptográfica) para cada arquivo baixado.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w:t>
      </w:r>
    </w:p>
    <w:p>
      <w:pPr>
        <w:spacing w:before="0" w:after="120" w:line="360" w:lineRule="auto"/>
        <w:ind w:firstLine="709"/>
        <w:jc w:val="both"/>
      </w:pPr>
      <w:r>
        <w:rPr>
          <w:rFonts w:ascii="Arial" w:hAnsi="Arial" w:eastAsia="Arial" w:cs="Arial"/>
          <w:b w:val="0"/>
          <w:i w:val="0"/>
          <w:sz w:val="24"/>
        </w:rPr>
        <w:t>A Tabela 1 relaciona as fontes utilizadas. Todas são públicas, revisadas por pares ou institucionais, e foram obtidas diretamente dos respectivos repositórios.</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Conjuntos de dados obtidos.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Conjunto</w:t>
            </w:r>
          </w:p>
        </w:tc>
        <w:tc>
          <w:tcPr>
            <w:tcW w:type="dxa" w:w="1814"/>
            <w:shd w:val="clear" w:color="auto" w:fill="EFEFEC"/>
          </w:tcPr>
          <w:p>
            <w:pPr>
              <w:spacing w:before="20" w:after="20" w:line="240" w:lineRule="auto"/>
              <w:jc w:val="center"/>
            </w:pPr>
            <w:r/>
            <w:r>
              <w:rPr>
                <w:rFonts w:ascii="Arial" w:hAnsi="Arial" w:eastAsia="Arial" w:cs="Arial"/>
                <w:b/>
                <w:i w:val="0"/>
                <w:sz w:val="18"/>
              </w:rPr>
              <w:t>Conteúdo</w:t>
            </w:r>
          </w:p>
        </w:tc>
        <w:tc>
          <w:tcPr>
            <w:tcW w:type="dxa" w:w="1814"/>
            <w:shd w:val="clear" w:color="auto" w:fill="EFEFEC"/>
          </w:tcPr>
          <w:p>
            <w:pPr>
              <w:spacing w:before="20" w:after="20" w:line="240" w:lineRule="auto"/>
              <w:jc w:val="center"/>
            </w:pPr>
            <w:r/>
            <w:r>
              <w:rPr>
                <w:rFonts w:ascii="Arial" w:hAnsi="Arial" w:eastAsia="Arial" w:cs="Arial"/>
                <w:b/>
                <w:i w:val="0"/>
                <w:sz w:val="18"/>
              </w:rPr>
              <w:t>Período</w:t>
            </w:r>
          </w:p>
        </w:tc>
        <w:tc>
          <w:tcPr>
            <w:tcW w:type="dxa" w:w="1814"/>
            <w:shd w:val="clear" w:color="auto" w:fill="EFEFEC"/>
          </w:tcPr>
          <w:p>
            <w:pPr>
              <w:spacing w:before="20" w:after="20" w:line="240" w:lineRule="auto"/>
              <w:jc w:val="center"/>
            </w:pPr>
            <w:r/>
            <w:r>
              <w:rPr>
                <w:rFonts w:ascii="Arial" w:hAnsi="Arial" w:eastAsia="Arial" w:cs="Arial"/>
                <w:b/>
                <w:i w:val="0"/>
                <w:sz w:val="18"/>
              </w:rPr>
              <w:t>Fonte</w:t>
            </w:r>
          </w:p>
        </w:tc>
        <w:tc>
          <w:tcPr>
            <w:tcW w:type="dxa" w:w="1814"/>
            <w:shd w:val="clear" w:color="auto" w:fill="EFEFEC"/>
          </w:tcPr>
          <w:p>
            <w:pPr>
              <w:spacing w:before="20" w:after="20" w:line="240" w:lineRule="auto"/>
              <w:jc w:val="center"/>
            </w:pPr>
            <w:r/>
            <w:r>
              <w:rPr>
                <w:rFonts w:ascii="Arial" w:hAnsi="Arial" w:eastAsia="Arial" w:cs="Arial"/>
                <w:b/>
                <w:i w:val="0"/>
                <w:sz w:val="18"/>
              </w:rPr>
              <w:t>Entra na cadeia quantitativa</w:t>
            </w:r>
          </w:p>
        </w:tc>
      </w:tr>
      <w:tr>
        <w:tc>
          <w:tcPr>
            <w:tcW w:type="dxa" w:w="1814"/>
          </w:tcPr>
          <w:p>
            <w:pPr>
              <w:spacing w:before="20" w:after="20" w:line="240" w:lineRule="auto"/>
              <w:jc w:val="left"/>
            </w:pPr>
            <w:r/>
            <w:r>
              <w:rPr>
                <w:rFonts w:ascii="Arial" w:hAnsi="Arial" w:eastAsia="Arial" w:cs="Arial"/>
                <w:b w:val="0"/>
                <w:i w:val="0"/>
                <w:sz w:val="18"/>
              </w:rPr>
              <w:t>PSMSL (RLR mensal e anual)</w:t>
            </w:r>
          </w:p>
        </w:tc>
        <w:tc>
          <w:tcPr>
            <w:tcW w:type="dxa" w:w="1814"/>
          </w:tcPr>
          <w:p>
            <w:pPr>
              <w:spacing w:before="20" w:after="20" w:line="240" w:lineRule="auto"/>
              <w:jc w:val="center"/>
            </w:pPr>
            <w:r/>
            <w:r>
              <w:rPr>
                <w:rFonts w:ascii="Arial" w:hAnsi="Arial" w:eastAsia="Arial" w:cs="Arial"/>
                <w:b w:val="0"/>
                <w:i w:val="0"/>
                <w:sz w:val="18"/>
              </w:rPr>
              <w:t>12 estações maregráficas brasileiras</w:t>
            </w:r>
          </w:p>
        </w:tc>
        <w:tc>
          <w:tcPr>
            <w:tcW w:type="dxa" w:w="1814"/>
          </w:tcPr>
          <w:p>
            <w:pPr>
              <w:spacing w:before="20" w:after="20" w:line="240" w:lineRule="auto"/>
              <w:jc w:val="center"/>
            </w:pPr>
            <w:r/>
            <w:r>
              <w:rPr>
                <w:rFonts w:ascii="Arial" w:hAnsi="Arial" w:eastAsia="Arial" w:cs="Arial"/>
                <w:b w:val="0"/>
                <w:i w:val="0"/>
                <w:sz w:val="18"/>
              </w:rPr>
              <w:t>1949–2022</w:t>
            </w:r>
          </w:p>
        </w:tc>
        <w:tc>
          <w:tcPr>
            <w:tcW w:type="dxa" w:w="1814"/>
          </w:tcPr>
          <w:p>
            <w:pPr>
              <w:spacing w:before="20" w:after="20" w:line="240" w:lineRule="auto"/>
              <w:jc w:val="center"/>
            </w:pPr>
            <w:r/>
            <w:r>
              <w:rPr>
                <w:rFonts w:ascii="Arial" w:hAnsi="Arial" w:eastAsia="Arial" w:cs="Arial"/>
                <w:b w:val="0"/>
                <w:i w:val="0"/>
                <w:sz w:val="18"/>
              </w:rPr>
              <w:t>Holgate et al. (2013)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UHSLC (qualidade de pesquisa)</w:t>
            </w:r>
          </w:p>
        </w:tc>
        <w:tc>
          <w:tcPr>
            <w:tcW w:type="dxa" w:w="1814"/>
          </w:tcPr>
          <w:p>
            <w:pPr>
              <w:spacing w:before="20" w:after="20" w:line="240" w:lineRule="auto"/>
              <w:jc w:val="center"/>
            </w:pPr>
            <w:r/>
            <w:r>
              <w:rPr>
                <w:rFonts w:ascii="Arial" w:hAnsi="Arial" w:eastAsia="Arial" w:cs="Arial"/>
                <w:b w:val="0"/>
                <w:i w:val="0"/>
                <w:sz w:val="18"/>
              </w:rPr>
              <w:t>níveis horários, 23 estações</w:t>
            </w:r>
          </w:p>
        </w:tc>
        <w:tc>
          <w:tcPr>
            <w:tcW w:type="dxa" w:w="1814"/>
          </w:tcPr>
          <w:p>
            <w:pPr>
              <w:spacing w:before="20" w:after="20" w:line="240" w:lineRule="auto"/>
              <w:jc w:val="center"/>
            </w:pPr>
            <w:r/>
            <w:r>
              <w:rPr>
                <w:rFonts w:ascii="Arial" w:hAnsi="Arial" w:eastAsia="Arial" w:cs="Arial"/>
                <w:b w:val="0"/>
                <w:i w:val="0"/>
                <w:sz w:val="18"/>
              </w:rPr>
              <w:t>1954–2018</w:t>
            </w:r>
          </w:p>
        </w:tc>
        <w:tc>
          <w:tcPr>
            <w:tcW w:type="dxa" w:w="1814"/>
          </w:tcPr>
          <w:p>
            <w:pPr>
              <w:spacing w:before="20" w:after="20" w:line="240" w:lineRule="auto"/>
              <w:jc w:val="center"/>
            </w:pPr>
            <w:r/>
            <w:r>
              <w:rPr>
                <w:rFonts w:ascii="Arial" w:hAnsi="Arial" w:eastAsia="Arial" w:cs="Arial"/>
                <w:b w:val="0"/>
                <w:i w:val="0"/>
                <w:sz w:val="18"/>
              </w:rPr>
              <w:t>Caldwell, Merrifield e Thompson (2015)</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IMBIE 2021</w:t>
            </w:r>
          </w:p>
        </w:tc>
        <w:tc>
          <w:tcPr>
            <w:tcW w:type="dxa" w:w="1814"/>
          </w:tcPr>
          <w:p>
            <w:pPr>
              <w:spacing w:before="20" w:after="20" w:line="240" w:lineRule="auto"/>
              <w:jc w:val="center"/>
            </w:pPr>
            <w:r/>
            <w:r>
              <w:rPr>
                <w:rFonts w:ascii="Arial" w:hAnsi="Arial" w:eastAsia="Arial" w:cs="Arial"/>
                <w:b w:val="0"/>
                <w:i w:val="0"/>
                <w:sz w:val="18"/>
              </w:rPr>
              <w:t>balanço de massa dos dois mantos</w:t>
            </w:r>
          </w:p>
        </w:tc>
        <w:tc>
          <w:tcPr>
            <w:tcW w:type="dxa" w:w="1814"/>
          </w:tcPr>
          <w:p>
            <w:pPr>
              <w:spacing w:before="20" w:after="20" w:line="240" w:lineRule="auto"/>
              <w:jc w:val="center"/>
            </w:pPr>
            <w:r/>
            <w:r>
              <w:rPr>
                <w:rFonts w:ascii="Arial" w:hAnsi="Arial" w:eastAsia="Arial" w:cs="Arial"/>
                <w:b w:val="0"/>
                <w:i w:val="0"/>
                <w:sz w:val="18"/>
              </w:rPr>
              <w:t>1992–2020</w:t>
            </w:r>
          </w:p>
        </w:tc>
        <w:tc>
          <w:tcPr>
            <w:tcW w:type="dxa" w:w="1814"/>
          </w:tcPr>
          <w:p>
            <w:pPr>
              <w:spacing w:before="20" w:after="20" w:line="240" w:lineRule="auto"/>
              <w:jc w:val="center"/>
            </w:pPr>
            <w:r/>
            <w:r>
              <w:rPr>
                <w:rFonts w:ascii="Arial" w:hAnsi="Arial" w:eastAsia="Arial" w:cs="Arial"/>
                <w:b w:val="0"/>
                <w:i w:val="0"/>
                <w:sz w:val="18"/>
              </w:rPr>
              <w:t>Otosaka et al. (2023)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GRACE/GRACE-FO</w:t>
            </w:r>
          </w:p>
        </w:tc>
        <w:tc>
          <w:tcPr>
            <w:tcW w:type="dxa" w:w="1814"/>
          </w:tcPr>
          <w:p>
            <w:pPr>
              <w:spacing w:before="20" w:after="20" w:line="240" w:lineRule="auto"/>
              <w:jc w:val="center"/>
            </w:pPr>
            <w:r/>
            <w:r>
              <w:rPr>
                <w:rFonts w:ascii="Arial" w:hAnsi="Arial" w:eastAsia="Arial" w:cs="Arial"/>
                <w:b w:val="0"/>
                <w:i w:val="0"/>
                <w:sz w:val="18"/>
              </w:rPr>
              <w:t>massa da Antártica</w:t>
            </w:r>
          </w:p>
        </w:tc>
        <w:tc>
          <w:tcPr>
            <w:tcW w:type="dxa" w:w="1814"/>
          </w:tcPr>
          <w:p>
            <w:pPr>
              <w:spacing w:before="20" w:after="20" w:line="240" w:lineRule="auto"/>
              <w:jc w:val="center"/>
            </w:pPr>
            <w:r/>
            <w:r>
              <w:rPr>
                <w:rFonts w:ascii="Arial" w:hAnsi="Arial" w:eastAsia="Arial" w:cs="Arial"/>
                <w:b w:val="0"/>
                <w:i w:val="0"/>
                <w:sz w:val="18"/>
              </w:rPr>
              <w:t>2002–2026</w:t>
            </w:r>
          </w:p>
        </w:tc>
        <w:tc>
          <w:tcPr>
            <w:tcW w:type="dxa" w:w="1814"/>
          </w:tcPr>
          <w:p>
            <w:pPr>
              <w:spacing w:before="20" w:after="20" w:line="240" w:lineRule="auto"/>
              <w:jc w:val="center"/>
            </w:pPr>
            <w:r/>
            <w:r>
              <w:rPr>
                <w:rFonts w:ascii="Arial" w:hAnsi="Arial" w:eastAsia="Arial" w:cs="Arial"/>
                <w:b w:val="0"/>
                <w:i w:val="0"/>
                <w:sz w:val="18"/>
              </w:rPr>
              <w:t>Wiese et al. (2022)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orçamento global e por bacia; campos espaciais de cada processo em grade de 0,5°</w:t>
            </w:r>
          </w:p>
        </w:tc>
        <w:tc>
          <w:tcPr>
            <w:tcW w:type="dxa" w:w="1814"/>
          </w:tcPr>
          <w:p>
            <w:pPr>
              <w:spacing w:before="20" w:after="20" w:line="240" w:lineRule="auto"/>
              <w:jc w:val="center"/>
            </w:pPr>
            <w:r/>
            <w:r>
              <w:rPr>
                <w:rFonts w:ascii="Arial" w:hAnsi="Arial" w:eastAsia="Arial" w:cs="Arial"/>
                <w:b w:val="0"/>
                <w:i w:val="0"/>
                <w:sz w:val="18"/>
              </w:rPr>
              <w:t>1900–2018</w:t>
            </w:r>
          </w:p>
        </w:tc>
        <w:tc>
          <w:tcPr>
            <w:tcW w:type="dxa" w:w="1814"/>
          </w:tcPr>
          <w:p>
            <w:pPr>
              <w:spacing w:before="20" w:after="20" w:line="240" w:lineRule="auto"/>
              <w:jc w:val="center"/>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Altimetria NOAA/NESDIS</w:t>
            </w:r>
          </w:p>
        </w:tc>
        <w:tc>
          <w:tcPr>
            <w:tcW w:type="dxa" w:w="1814"/>
          </w:tcPr>
          <w:p>
            <w:pPr>
              <w:spacing w:before="20" w:after="20" w:line="240" w:lineRule="auto"/>
              <w:jc w:val="center"/>
            </w:pPr>
            <w:r/>
            <w:r>
              <w:rPr>
                <w:rFonts w:ascii="Arial" w:hAnsi="Arial" w:eastAsia="Arial" w:cs="Arial"/>
                <w:b w:val="0"/>
                <w:i w:val="0"/>
                <w:sz w:val="18"/>
              </w:rPr>
              <w:t>nível médio global por satélite</w:t>
            </w:r>
          </w:p>
        </w:tc>
        <w:tc>
          <w:tcPr>
            <w:tcW w:type="dxa" w:w="1814"/>
          </w:tcPr>
          <w:p>
            <w:pPr>
              <w:spacing w:before="20" w:after="20" w:line="240" w:lineRule="auto"/>
              <w:jc w:val="center"/>
            </w:pPr>
            <w:r/>
            <w:r>
              <w:rPr>
                <w:rFonts w:ascii="Arial" w:hAnsi="Arial" w:eastAsia="Arial" w:cs="Arial"/>
                <w:b w:val="0"/>
                <w:i w:val="0"/>
                <w:sz w:val="18"/>
              </w:rPr>
              <w:t>1993–2024</w:t>
            </w:r>
          </w:p>
        </w:tc>
        <w:tc>
          <w:tcPr>
            <w:tcW w:type="dxa" w:w="1814"/>
          </w:tcPr>
          <w:p>
            <w:pPr>
              <w:spacing w:before="20" w:after="20" w:line="240" w:lineRule="auto"/>
              <w:jc w:val="center"/>
            </w:pPr>
            <w:r/>
            <w:r>
              <w:rPr>
                <w:rFonts w:ascii="Arial" w:hAnsi="Arial" w:eastAsia="Arial" w:cs="Arial"/>
                <w:b w:val="0"/>
                <w:i w:val="0"/>
                <w:sz w:val="18"/>
              </w:rPr>
              <w:t>NOAA (2026)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HadCRUT5 e GISTEMP v4</w:t>
            </w:r>
          </w:p>
        </w:tc>
        <w:tc>
          <w:tcPr>
            <w:tcW w:type="dxa" w:w="1814"/>
          </w:tcPr>
          <w:p>
            <w:pPr>
              <w:spacing w:before="20" w:after="20" w:line="240" w:lineRule="auto"/>
              <w:jc w:val="center"/>
            </w:pPr>
            <w:r/>
            <w:r>
              <w:rPr>
                <w:rFonts w:ascii="Arial" w:hAnsi="Arial" w:eastAsia="Arial" w:cs="Arial"/>
                <w:b w:val="0"/>
                <w:i w:val="0"/>
                <w:sz w:val="18"/>
              </w:rPr>
              <w:t>temperatura média global</w:t>
            </w:r>
          </w:p>
        </w:tc>
        <w:tc>
          <w:tcPr>
            <w:tcW w:type="dxa" w:w="1814"/>
          </w:tcPr>
          <w:p>
            <w:pPr>
              <w:spacing w:before="20" w:after="20" w:line="240" w:lineRule="auto"/>
              <w:jc w:val="center"/>
            </w:pPr>
            <w:r/>
            <w:r>
              <w:rPr>
                <w:rFonts w:ascii="Arial" w:hAnsi="Arial" w:eastAsia="Arial" w:cs="Arial"/>
                <w:b w:val="0"/>
                <w:i w:val="0"/>
                <w:sz w:val="18"/>
              </w:rPr>
              <w:t>1850–2025</w:t>
            </w:r>
          </w:p>
        </w:tc>
        <w:tc>
          <w:tcPr>
            <w:tcW w:type="dxa" w:w="1814"/>
          </w:tcPr>
          <w:p>
            <w:pPr>
              <w:spacing w:before="20" w:after="20" w:line="240" w:lineRule="auto"/>
              <w:jc w:val="center"/>
            </w:pPr>
            <w:r/>
            <w:r>
              <w:rPr>
                <w:rFonts w:ascii="Arial" w:hAnsi="Arial" w:eastAsia="Arial" w:cs="Arial"/>
                <w:b w:val="0"/>
                <w:i w:val="0"/>
                <w:sz w:val="18"/>
              </w:rPr>
              <w:t>Morice et al. (2021)</w:t>
            </w:r>
          </w:p>
        </w:tc>
        <w:tc>
          <w:tcPr>
            <w:tcW w:type="dxa" w:w="1814"/>
          </w:tcPr>
          <w:p>
            <w:pPr>
              <w:spacing w:before="20" w:after="20" w:line="240" w:lineRule="auto"/>
              <w:jc w:val="center"/>
            </w:pPr>
            <w:r/>
            <w:r>
              <w:rPr>
                <w:rFonts w:ascii="Arial" w:hAnsi="Arial" w:eastAsia="Arial" w:cs="Arial"/>
                <w:b w:val="0"/>
                <w:i w:val="0"/>
                <w:sz w:val="18"/>
              </w:rPr>
              <w:t>somente HadCRUT5</w:t>
            </w:r>
          </w:p>
        </w:tc>
      </w:tr>
      <w:tr>
        <w:tc>
          <w:tcPr>
            <w:tcW w:type="dxa" w:w="1814"/>
          </w:tcPr>
          <w:p>
            <w:pPr>
              <w:spacing w:before="20" w:after="20" w:line="240" w:lineRule="auto"/>
              <w:jc w:val="left"/>
            </w:pPr>
            <w:r/>
            <w:r>
              <w:rPr>
                <w:rFonts w:ascii="Arial" w:hAnsi="Arial" w:eastAsia="Arial" w:cs="Arial"/>
                <w:b w:val="0"/>
                <w:i w:val="0"/>
                <w:sz w:val="18"/>
              </w:rPr>
              <w:t>NCEI</w:t>
            </w:r>
          </w:p>
        </w:tc>
        <w:tc>
          <w:tcPr>
            <w:tcW w:type="dxa" w:w="1814"/>
          </w:tcPr>
          <w:p>
            <w:pPr>
              <w:spacing w:before="20" w:after="20" w:line="240" w:lineRule="auto"/>
              <w:jc w:val="center"/>
            </w:pPr>
            <w:r/>
            <w:r>
              <w:rPr>
                <w:rFonts w:ascii="Arial" w:hAnsi="Arial" w:eastAsia="Arial" w:cs="Arial"/>
                <w:b w:val="0"/>
                <w:i w:val="0"/>
                <w:sz w:val="18"/>
              </w:rPr>
              <w:t>conteúdo de calor oceânico</w:t>
            </w:r>
          </w:p>
        </w:tc>
        <w:tc>
          <w:tcPr>
            <w:tcW w:type="dxa" w:w="1814"/>
          </w:tcPr>
          <w:p>
            <w:pPr>
              <w:spacing w:before="20" w:after="20" w:line="240" w:lineRule="auto"/>
              <w:jc w:val="center"/>
            </w:pPr>
            <w:r/>
            <w:r>
              <w:rPr>
                <w:rFonts w:ascii="Arial" w:hAnsi="Arial" w:eastAsia="Arial" w:cs="Arial"/>
                <w:b w:val="0"/>
                <w:i w:val="0"/>
                <w:sz w:val="18"/>
              </w:rPr>
              <w:t>1955–2026</w:t>
            </w:r>
          </w:p>
        </w:tc>
        <w:tc>
          <w:tcPr>
            <w:tcW w:type="dxa" w:w="1814"/>
          </w:tcPr>
          <w:p>
            <w:pPr>
              <w:spacing w:before="20" w:after="20" w:line="240" w:lineRule="auto"/>
              <w:jc w:val="center"/>
            </w:pPr>
            <w:r/>
            <w:r>
              <w:rPr>
                <w:rFonts w:ascii="Arial" w:hAnsi="Arial" w:eastAsia="Arial" w:cs="Arial"/>
                <w:b w:val="0"/>
                <w:i w:val="0"/>
                <w:sz w:val="18"/>
              </w:rPr>
              <w:t>Levitus et al. (2012)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MIDAS (IGS14)</w:t>
            </w:r>
          </w:p>
        </w:tc>
        <w:tc>
          <w:tcPr>
            <w:tcW w:type="dxa" w:w="1814"/>
          </w:tcPr>
          <w:p>
            <w:pPr>
              <w:spacing w:before="20" w:after="20" w:line="240" w:lineRule="auto"/>
              <w:jc w:val="center"/>
            </w:pPr>
            <w:r/>
            <w:r>
              <w:rPr>
                <w:rFonts w:ascii="Arial" w:hAnsi="Arial" w:eastAsia="Arial" w:cs="Arial"/>
                <w:b w:val="0"/>
                <w:i w:val="0"/>
                <w:sz w:val="18"/>
              </w:rPr>
              <w:t>velocidades verticais de 20.168 estações GNSS</w:t>
            </w:r>
          </w:p>
        </w:tc>
        <w:tc>
          <w:tcPr>
            <w:tcW w:type="dxa" w:w="1814"/>
          </w:tcPr>
          <w:p>
            <w:pPr>
              <w:spacing w:before="20" w:after="20" w:line="240" w:lineRule="auto"/>
              <w:jc w:val="center"/>
            </w:pPr>
            <w:r/>
            <w:r>
              <w:rPr>
                <w:rFonts w:ascii="Arial" w:hAnsi="Arial" w:eastAsia="Arial" w:cs="Arial"/>
                <w:b w:val="0"/>
                <w:i w:val="0"/>
                <w:sz w:val="18"/>
              </w:rPr>
              <w:t>variável</w:t>
            </w:r>
          </w:p>
        </w:tc>
        <w:tc>
          <w:tcPr>
            <w:tcW w:type="dxa" w:w="1814"/>
          </w:tcPr>
          <w:p>
            <w:pPr>
              <w:spacing w:before="20" w:after="20" w:line="240" w:lineRule="auto"/>
              <w:jc w:val="center"/>
            </w:pPr>
            <w:r/>
            <w:r>
              <w:rPr>
                <w:rFonts w:ascii="Arial" w:hAnsi="Arial" w:eastAsia="Arial" w:cs="Arial"/>
                <w:b w:val="0"/>
                <w:i w:val="0"/>
                <w:sz w:val="18"/>
              </w:rPr>
              <w:t>Blewitt et al. (2016)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IPCC AR6</w:t>
            </w:r>
          </w:p>
        </w:tc>
        <w:tc>
          <w:tcPr>
            <w:tcW w:type="dxa" w:w="1814"/>
          </w:tcPr>
          <w:p>
            <w:pPr>
              <w:spacing w:before="20" w:after="20" w:line="240" w:lineRule="auto"/>
              <w:jc w:val="center"/>
            </w:pPr>
            <w:r/>
            <w:r>
              <w:rPr>
                <w:rFonts w:ascii="Arial" w:hAnsi="Arial" w:eastAsia="Arial" w:cs="Arial"/>
                <w:b w:val="0"/>
                <w:i w:val="0"/>
                <w:sz w:val="18"/>
              </w:rPr>
              <w:t>projeções por processo, cenário e percentil, em 6 estações brasileiras e global</w:t>
            </w:r>
          </w:p>
        </w:tc>
        <w:tc>
          <w:tcPr>
            <w:tcW w:type="dxa" w:w="1814"/>
          </w:tcPr>
          <w:p>
            <w:pPr>
              <w:spacing w:before="20" w:after="20" w:line="240" w:lineRule="auto"/>
              <w:jc w:val="center"/>
            </w:pPr>
            <w:r/>
            <w:r>
              <w:rPr>
                <w:rFonts w:ascii="Arial" w:hAnsi="Arial" w:eastAsia="Arial" w:cs="Arial"/>
                <w:b w:val="0"/>
                <w:i w:val="0"/>
                <w:sz w:val="18"/>
              </w:rPr>
              <w:t>2020–2150</w:t>
            </w:r>
          </w:p>
        </w:tc>
        <w:tc>
          <w:tcPr>
            <w:tcW w:type="dxa" w:w="1814"/>
          </w:tcPr>
          <w:p>
            <w:pPr>
              <w:spacing w:before="20" w:after="20" w:line="240" w:lineRule="auto"/>
              <w:jc w:val="center"/>
            </w:pPr>
            <w:r/>
            <w:r>
              <w:rPr>
                <w:rFonts w:ascii="Arial" w:hAnsi="Arial" w:eastAsia="Arial" w:cs="Arial"/>
                <w:b w:val="0"/>
                <w:i w:val="0"/>
                <w:sz w:val="18"/>
              </w:rPr>
              <w:t>Garner et al. (2021)</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CSIRO (reconstrução)</w:t>
            </w:r>
          </w:p>
        </w:tc>
        <w:tc>
          <w:tcPr>
            <w:tcW w:type="dxa" w:w="1814"/>
          </w:tcPr>
          <w:p>
            <w:pPr>
              <w:spacing w:before="20" w:after="20" w:line="240" w:lineRule="auto"/>
              <w:jc w:val="center"/>
            </w:pPr>
            <w:r/>
            <w:r>
              <w:rPr>
                <w:rFonts w:ascii="Arial" w:hAnsi="Arial" w:eastAsia="Arial" w:cs="Arial"/>
                <w:b w:val="0"/>
                <w:i w:val="0"/>
                <w:sz w:val="18"/>
              </w:rPr>
              <w:t>nível médio global</w:t>
            </w:r>
          </w:p>
        </w:tc>
        <w:tc>
          <w:tcPr>
            <w:tcW w:type="dxa" w:w="1814"/>
          </w:tcPr>
          <w:p>
            <w:pPr>
              <w:spacing w:before="20" w:after="20" w:line="240" w:lineRule="auto"/>
              <w:jc w:val="center"/>
            </w:pPr>
            <w:r/>
            <w:r>
              <w:rPr>
                <w:rFonts w:ascii="Arial" w:hAnsi="Arial" w:eastAsia="Arial" w:cs="Arial"/>
                <w:b w:val="0"/>
                <w:i w:val="0"/>
                <w:sz w:val="18"/>
              </w:rPr>
              <w:t>1880–2013</w:t>
            </w:r>
          </w:p>
        </w:tc>
        <w:tc>
          <w:tcPr>
            <w:tcW w:type="dxa" w:w="1814"/>
          </w:tcPr>
          <w:p>
            <w:pPr>
              <w:spacing w:before="20" w:after="20" w:line="240" w:lineRule="auto"/>
              <w:jc w:val="center"/>
            </w:pPr>
            <w:r/>
            <w:r>
              <w:rPr>
                <w:rFonts w:ascii="Arial" w:hAnsi="Arial" w:eastAsia="Arial" w:cs="Arial"/>
                <w:b w:val="0"/>
                <w:i w:val="0"/>
                <w:sz w:val="18"/>
              </w:rPr>
              <w:t>Church e White (2011)</w:t>
            </w:r>
          </w:p>
        </w:tc>
        <w:tc>
          <w:tcPr>
            <w:tcW w:type="dxa" w:w="1814"/>
          </w:tcPr>
          <w:p>
            <w:pPr>
              <w:spacing w:before="20" w:after="20" w:line="240" w:lineRule="auto"/>
              <w:jc w:val="center"/>
            </w:pPr>
            <w:r/>
            <w:r>
              <w:rPr>
                <w:rFonts w:ascii="Arial" w:hAnsi="Arial" w:eastAsia="Arial" w:cs="Arial"/>
                <w:b w:val="0"/>
                <w:i w:val="0"/>
                <w:sz w:val="18"/>
              </w:rPr>
              <w:t>não</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3.2 Controle de qualidade</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de dado; descarte de meses sinalizados; formação de média anual apenas com anos de pelo menos dez meses válidos, para evitar viés sazonal; e exigência de no mínimo 30 anos válidos e 25 anos de extensão, critério que corresponde ao período mínimo recomendado para separar tendência climática de variabilidade natural. Para as séries horárias do UHSLC, exigiu-se cobertura de 70% das horas de cada mês e de dez meses válidos por ano.</w:t>
      </w:r>
    </w:p>
    <w:p>
      <w:pPr>
        <w:spacing w:before="240" w:after="160" w:line="360" w:lineRule="auto"/>
        <w:ind w:firstLine="0"/>
        <w:jc w:val="left"/>
      </w:pPr>
      <w:r>
        <w:rPr>
          <w:rFonts w:ascii="Arial" w:hAnsi="Arial" w:eastAsia="Arial" w:cs="Arial"/>
          <w:b/>
          <w:i w:val="0"/>
          <w:sz w:val="24"/>
        </w:rPr>
        <w:t>3.3 Estimadores de tendência</w:t>
      </w:r>
    </w:p>
    <w:p>
      <w:pPr>
        <w:spacing w:before="0" w:after="120" w:line="360" w:lineRule="auto"/>
        <w:ind w:firstLine="709"/>
        <w:jc w:val="both"/>
      </w:pPr>
      <w:r>
        <w:rPr>
          <w:rFonts w:ascii="Arial" w:hAnsi="Arial" w:eastAsia="Arial" w:cs="Arial"/>
          <w:b w:val="0"/>
          <w:i w:val="0"/>
          <w:sz w:val="24"/>
        </w:rPr>
        <w:t>Os resíduos de séries anuais de nível do mar são fortemente autocorrelacionados, o que faz o erro padrão do método dos mínimos quadrados subestimar a incerteza real da tendência. Por isso toda tendência foi estimada por três caminhos independentes: mínimos quadrados com erro padrão robusto de Newey e West (1987), que corrige autocorrelação e heterocedasticidade; estimador robusto de Theil-Sen; e reamostragem por blocos móveis, que preserva a estrutura de autocorrelação sem hipótese paramétrica.</w:t>
      </w:r>
    </w:p>
    <w:p>
      <w:pPr>
        <w:spacing w:before="240" w:after="160" w:line="360" w:lineRule="auto"/>
        <w:ind w:firstLine="0"/>
        <w:jc w:val="left"/>
      </w:pPr>
      <w:r>
        <w:rPr>
          <w:rFonts w:ascii="Arial" w:hAnsi="Arial" w:eastAsia="Arial" w:cs="Arial"/>
          <w:b/>
          <w:i w:val="0"/>
          <w:sz w:val="24"/>
        </w:rPr>
        <w:t>3.4 Impressões digitais</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do mar de cada processo baristático (FREDERIKSE et al., 2020), em grade de 0,5°, como a razão entre a tendência local e a tendência da média global ponderada pelo cosseno da latitude, no mesmo período em que o fator seria aplicado. Calcularam-se fatores em onze pontos correspondentes a estações maregráficas e em um transecto contínuo de 28 pontos ao longo do litoral, de 4,4° N a 34° S, além de sete pontos de contraste fora do Brasil destinados a verificar a física do campo próximo.</w:t>
      </w:r>
    </w:p>
    <w:p>
      <w:pPr>
        <w:spacing w:before="240" w:after="160" w:line="360" w:lineRule="auto"/>
        <w:ind w:firstLine="0"/>
        <w:jc w:val="left"/>
      </w:pPr>
      <w:r>
        <w:rPr>
          <w:rFonts w:ascii="Arial" w:hAnsi="Arial" w:eastAsia="Arial" w:cs="Arial"/>
          <w:b/>
          <w:i w:val="0"/>
          <w:sz w:val="24"/>
        </w:rPr>
        <w:t>3.5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Quatro formas funcionais foram consideradas: linear, linear com termo de taxa, potência e quadrática. Impuseram-se restrições de monotonicidade — coeficiente principal não negativo, expoente maior ou igual a um, curvatura não negativa — de modo que mais aquecimento jamais produza menos perda de massa. Essa restrição não é detalhe técnico: sem ela, o ajuste por mínimos quadrados seleciona uma parábola de curvatura negativa que reproduz bem o passado e se inverte na extrapolação, modo de falha efetivamente observado durante o desenvolvimento e idêntico ao que inviabiliza a regressão quadrática no tempo.</w:t>
      </w:r>
    </w:p>
    <w:p>
      <w:pPr>
        <w:spacing w:before="0" w:after="120" w:line="360" w:lineRule="auto"/>
        <w:ind w:firstLine="0"/>
        <w:jc w:val="both"/>
      </w:pPr>
      <w:r>
        <w:rPr>
          <w:rFonts w:ascii="Arial" w:hAnsi="Arial" w:eastAsia="Arial" w:cs="Arial"/>
          <w:b w:val="0"/>
          <w:i w:val="0"/>
          <w:sz w:val="24"/>
        </w:rPr>
        <w:t>A forma funcional e a janela de suavização do forçante não foram escolhidas por ajuste dentro da amostra, critério que premiaria a flexibilidade, nem pelo desempenho no conjunto de teste final, o que configuraria vazamento de dado. Foram escolhidas por validação cruzada de origem móvel aninhada, usando apenas anos anteriores a 1990, com regra de parcimônia: entre as combinações cujo erro está a menos de 5% do melhor, adota-se a de menor número de parâmetros. A aplicação dessa regra foi decisiva: para os mantos de gelo, doze combinações mostraram-se estatisticamente indistinguíveis, e a seleção pela mais flexível produzia projeção de 9 mm/ano a 4,4 K de aquecimento, uma ordem de grandeza acima de qualquer estimativa publicada. A forma selecionada por parcimônia foi a linear de Rahmstorf (2007) para os três componentes de massa; para o termo estérico a validação selecionou a forma de potência, cujo expoente convergiu para o limite inferior admitido (q = 1,00), reduzindo-a na prática à forma linear.</w:t>
      </w:r>
    </w:p>
    <w:p>
      <w:pPr>
        <w:spacing w:before="240" w:after="160" w:line="360" w:lineRule="auto"/>
        <w:ind w:firstLine="0"/>
        <w:jc w:val="left"/>
      </w:pPr>
      <w:r>
        <w:rPr>
          <w:rFonts w:ascii="Arial" w:hAnsi="Arial" w:eastAsia="Arial" w:cs="Arial"/>
          <w:b/>
          <w:i w:val="0"/>
          <w:sz w:val="24"/>
        </w:rPr>
        <w:t>3.6 Cadeia de projeção local</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que não envolve redistribuição de massa e ao qual a impressão digital gravitacional não se aplica, δ(x) foi obtido da razão entre a projeção de dinâmica oceânica do IPCC AR6 na estação e a correspondente projeção global, por representar a resposta forçada. A razão estérica histórica também foi calculada, mas descartada: resultou entre −0,07 e +0,79 ao longo da costa, refletindo variabilidade dinâmica decadal e escassez de perfis hidrográficos sobre a plataforma, e não a resposta ao forçamento.</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funcional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3.7 Modelos de impacto costeiro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do ajuste em cinco limiares. A taxa de excedência é definida sobre valores horários; não se aplicou agrupamento de horas consecutivas, o que não afeta a comparação entre presente e futuro, objeto desta análise, mas significa que as taxas não devem ser lidas como número de tempestades independentes. O recuo da linha de costa foi estimado pela regra de Bruun sobre quatro declividades representativas.</w:t>
      </w:r>
    </w:p>
    <w:p>
      <w:pPr>
        <w:spacing w:before="240" w:after="160" w:line="360" w:lineRule="auto"/>
        <w:ind w:firstLine="0"/>
        <w:jc w:val="left"/>
      </w:pPr>
      <w:r>
        <w:rPr>
          <w:rFonts w:ascii="Arial" w:hAnsi="Arial" w:eastAsia="Arial" w:cs="Arial"/>
          <w:b/>
          <w:i w:val="0"/>
          <w:sz w:val="24"/>
        </w:rPr>
        <w:t>3.8 Protocolo de validação</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do nível do mar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maregráficos brasileiros</w:t>
      </w:r>
    </w:p>
    <w:p>
      <w:pPr>
        <w:spacing w:before="0" w:after="120" w:line="360" w:lineRule="auto"/>
        <w:ind w:firstLine="709"/>
        <w:jc w:val="both"/>
      </w:pPr>
      <w:r>
        <w:rPr>
          <w:rFonts w:ascii="Arial" w:hAnsi="Arial" w:eastAsia="Arial" w:cs="Arial"/>
          <w:b w:val="0"/>
          <w:i w:val="0"/>
          <w:sz w:val="24"/>
        </w:rPr>
        <w:t>Das doze estações brasileiras no acervo do PSMSL, apenas duas satisfazem os critérios de qualidade: Cananéia (1954–2004, 51 anos válidos, completude de 100%) e Ilha Fiscal (1963–2022, 55 anos válidos, completude de 91,7%). As demais possuem séries de 1 a 20 anos, em geral encerradas na década de 1960. A verificação das séries horárias do UHSLC confirmou o quadro: embora os metadados indiquem extensão até 2023 em Fortaleza e 2018 em Salvador, a cobertura efetiva é de 13 e 10 anos, respectivamente. A escassez de séries longas no litoral brasileiro, apontada pelo PBMC (2016), é portanto um resultado verificado e não apenas uma observação qualitativa, e condiciona tudo o que se segue.</w:t>
      </w:r>
    </w:p>
    <w:p>
      <w:pPr>
        <w:spacing w:before="240" w:after="160" w:line="360" w:lineRule="auto"/>
        <w:ind w:firstLine="0"/>
        <w:jc w:val="left"/>
      </w:pPr>
      <w:r>
        <w:rPr>
          <w:rFonts w:ascii="Arial" w:hAnsi="Arial" w:eastAsia="Arial" w:cs="Arial"/>
          <w:b/>
          <w:i w:val="0"/>
          <w:sz w:val="24"/>
        </w:rPr>
        <w:t>4.2 O Brasil recebe mais que a média global</w:t>
      </w:r>
    </w:p>
    <w:p>
      <w:pPr>
        <w:spacing w:before="0" w:after="120" w:line="360" w:lineRule="auto"/>
        <w:ind w:firstLine="709"/>
        <w:jc w:val="both"/>
      </w:pPr>
      <w:r>
        <w:rPr>
          <w:rFonts w:ascii="Arial" w:hAnsi="Arial" w:eastAsia="Arial" w:cs="Arial"/>
          <w:b w:val="0"/>
          <w:i w:val="0"/>
          <w:sz w:val="24"/>
        </w:rPr>
        <w:t>A Tabela 2 apresenta a validação V1. As cinco tendências baristáticas globais reproduzidas a partir dos campos espaciais conferem com os valores publicados dentro da incerteza declarada, com diferença máxima de 0,024 mm/ano.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Validação V1: tendências baristáticas globais, 1993–2018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Processo</w:t>
            </w:r>
          </w:p>
        </w:tc>
        <w:tc>
          <w:tcPr>
            <w:tcW w:type="dxa" w:w="1814"/>
            <w:shd w:val="clear" w:color="auto" w:fill="EFEFEC"/>
          </w:tcPr>
          <w:p>
            <w:pPr>
              <w:spacing w:before="20" w:after="20" w:line="240" w:lineRule="auto"/>
              <w:jc w:val="center"/>
            </w:pPr>
            <w:r/>
            <w:r>
              <w:rPr>
                <w:rFonts w:ascii="Arial" w:hAnsi="Arial" w:eastAsia="Arial" w:cs="Arial"/>
                <w:b/>
                <w:i w:val="0"/>
                <w:sz w:val="18"/>
              </w:rPr>
              <w:t>Reproduzido</w:t>
            </w:r>
          </w:p>
        </w:tc>
        <w:tc>
          <w:tcPr>
            <w:tcW w:type="dxa" w:w="1814"/>
            <w:shd w:val="clear" w:color="auto" w:fill="EFEFEC"/>
          </w:tcPr>
          <w:p>
            <w:pPr>
              <w:spacing w:before="20" w:after="20" w:line="240" w:lineRule="auto"/>
              <w:jc w:val="center"/>
            </w:pPr>
            <w:r/>
            <w:r>
              <w:rPr>
                <w:rFonts w:ascii="Arial" w:hAnsi="Arial" w:eastAsia="Arial" w:cs="Arial"/>
                <w:b/>
                <w:i w:val="0"/>
                <w:sz w:val="18"/>
              </w:rPr>
              <w:t>Publicado</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Dentro da incerteza</w:t>
            </w:r>
          </w:p>
        </w:tc>
      </w:tr>
      <w:tr>
        <w:tc>
          <w:tcPr>
            <w:tcW w:type="dxa" w:w="1814"/>
          </w:tcPr>
          <w:p>
            <w:pPr>
              <w:spacing w:before="20" w:after="20" w:line="240" w:lineRule="auto"/>
              <w:jc w:val="left"/>
            </w:pPr>
            <w:r/>
            <w:r>
              <w:rPr>
                <w:rFonts w:ascii="Arial" w:hAnsi="Arial" w:eastAsia="Arial" w:cs="Arial"/>
                <w:b w:val="0"/>
                <w:i w:val="0"/>
                <w:sz w:val="18"/>
              </w:rPr>
              <w:t>Groenlândia</w:t>
            </w:r>
          </w:p>
        </w:tc>
        <w:tc>
          <w:tcPr>
            <w:tcW w:type="dxa" w:w="1814"/>
          </w:tcPr>
          <w:p>
            <w:pPr>
              <w:spacing w:before="20" w:after="20" w:line="240" w:lineRule="auto"/>
              <w:jc w:val="center"/>
            </w:pPr>
            <w:r/>
            <w:r>
              <w:rPr>
                <w:rFonts w:ascii="Arial" w:hAnsi="Arial" w:eastAsia="Arial" w:cs="Arial"/>
                <w:b w:val="0"/>
                <w:i w:val="0"/>
                <w:sz w:val="18"/>
              </w:rPr>
              <w:t>+0,626</w:t>
            </w:r>
          </w:p>
        </w:tc>
        <w:tc>
          <w:tcPr>
            <w:tcW w:type="dxa" w:w="1814"/>
          </w:tcPr>
          <w:p>
            <w:pPr>
              <w:spacing w:before="20" w:after="20" w:line="240" w:lineRule="auto"/>
              <w:jc w:val="center"/>
            </w:pPr>
            <w:r/>
            <w:r>
              <w:rPr>
                <w:rFonts w:ascii="Arial" w:hAnsi="Arial" w:eastAsia="Arial" w:cs="Arial"/>
                <w:b w:val="0"/>
                <w:i w:val="0"/>
                <w:sz w:val="18"/>
              </w:rPr>
              <w:t>0,65 ± 0,04</w:t>
            </w:r>
          </w:p>
        </w:tc>
        <w:tc>
          <w:tcPr>
            <w:tcW w:type="dxa" w:w="1814"/>
          </w:tcPr>
          <w:p>
            <w:pPr>
              <w:spacing w:before="20" w:after="20" w:line="240" w:lineRule="auto"/>
              <w:jc w:val="center"/>
            </w:pPr>
            <w:r/>
            <w:r>
              <w:rPr>
                <w:rFonts w:ascii="Arial" w:hAnsi="Arial" w:eastAsia="Arial" w:cs="Arial"/>
                <w:b w:val="0"/>
                <w:i w:val="0"/>
                <w:sz w:val="18"/>
              </w:rPr>
              <w:t>−0,024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Antártica</w:t>
            </w:r>
          </w:p>
        </w:tc>
        <w:tc>
          <w:tcPr>
            <w:tcW w:type="dxa" w:w="1814"/>
          </w:tcPr>
          <w:p>
            <w:pPr>
              <w:spacing w:before="20" w:after="20" w:line="240" w:lineRule="auto"/>
              <w:jc w:val="center"/>
            </w:pPr>
            <w:r/>
            <w:r>
              <w:rPr>
                <w:rFonts w:ascii="Arial" w:hAnsi="Arial" w:eastAsia="Arial" w:cs="Arial"/>
                <w:b w:val="0"/>
                <w:i w:val="0"/>
                <w:sz w:val="18"/>
              </w:rPr>
              <w:t>+0,302</w:t>
            </w:r>
          </w:p>
        </w:tc>
        <w:tc>
          <w:tcPr>
            <w:tcW w:type="dxa" w:w="1814"/>
          </w:tcPr>
          <w:p>
            <w:pPr>
              <w:spacing w:before="20" w:after="20" w:line="240" w:lineRule="auto"/>
              <w:jc w:val="center"/>
            </w:pPr>
            <w:r/>
            <w:r>
              <w:rPr>
                <w:rFonts w:ascii="Arial" w:hAnsi="Arial" w:eastAsia="Arial" w:cs="Arial"/>
                <w:b w:val="0"/>
                <w:i w:val="0"/>
                <w:sz w:val="18"/>
              </w:rPr>
              <w:t>0,29 ± 0,08</w:t>
            </w:r>
          </w:p>
        </w:tc>
        <w:tc>
          <w:tcPr>
            <w:tcW w:type="dxa" w:w="1814"/>
          </w:tcPr>
          <w:p>
            <w:pPr>
              <w:spacing w:before="20" w:after="20" w:line="240" w:lineRule="auto"/>
              <w:jc w:val="center"/>
            </w:pPr>
            <w:r/>
            <w:r>
              <w:rPr>
                <w:rFonts w:ascii="Arial" w:hAnsi="Arial" w:eastAsia="Arial" w:cs="Arial"/>
                <w:b w:val="0"/>
                <w:i w:val="0"/>
                <w:sz w:val="18"/>
              </w:rPr>
              <w:t>+0,012</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Geleiras</w:t>
            </w:r>
          </w:p>
        </w:tc>
        <w:tc>
          <w:tcPr>
            <w:tcW w:type="dxa" w:w="1814"/>
          </w:tcPr>
          <w:p>
            <w:pPr>
              <w:spacing w:before="20" w:after="20" w:line="240" w:lineRule="auto"/>
              <w:jc w:val="center"/>
            </w:pPr>
            <w:r/>
            <w:r>
              <w:rPr>
                <w:rFonts w:ascii="Arial" w:hAnsi="Arial" w:eastAsia="Arial" w:cs="Arial"/>
                <w:b w:val="0"/>
                <w:i w:val="0"/>
                <w:sz w:val="18"/>
              </w:rPr>
              <w:t>+0,646</w:t>
            </w:r>
          </w:p>
        </w:tc>
        <w:tc>
          <w:tcPr>
            <w:tcW w:type="dxa" w:w="1814"/>
          </w:tcPr>
          <w:p>
            <w:pPr>
              <w:spacing w:before="20" w:after="20" w:line="240" w:lineRule="auto"/>
              <w:jc w:val="center"/>
            </w:pPr>
            <w:r/>
            <w:r>
              <w:rPr>
                <w:rFonts w:ascii="Arial" w:hAnsi="Arial" w:eastAsia="Arial" w:cs="Arial"/>
                <w:b w:val="0"/>
                <w:i w:val="0"/>
                <w:sz w:val="18"/>
              </w:rPr>
              <w:t>0,65 ± 0,09</w:t>
            </w:r>
          </w:p>
        </w:tc>
        <w:tc>
          <w:tcPr>
            <w:tcW w:type="dxa" w:w="1814"/>
          </w:tcPr>
          <w:p>
            <w:pPr>
              <w:spacing w:before="20" w:after="20" w:line="240" w:lineRule="auto"/>
              <w:jc w:val="center"/>
            </w:pPr>
            <w:r/>
            <w:r>
              <w:rPr>
                <w:rFonts w:ascii="Arial" w:hAnsi="Arial" w:eastAsia="Arial" w:cs="Arial"/>
                <w:b w:val="0"/>
                <w:i w:val="0"/>
                <w:sz w:val="18"/>
              </w:rPr>
              <w:t>−0,004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Água continental</w:t>
            </w:r>
          </w:p>
        </w:tc>
        <w:tc>
          <w:tcPr>
            <w:tcW w:type="dxa" w:w="1814"/>
          </w:tcPr>
          <w:p>
            <w:pPr>
              <w:spacing w:before="20" w:after="20" w:line="240" w:lineRule="auto"/>
              <w:jc w:val="center"/>
            </w:pPr>
            <w:r/>
            <w:r>
              <w:rPr>
                <w:rFonts w:ascii="Arial" w:hAnsi="Arial" w:eastAsia="Arial" w:cs="Arial"/>
                <w:b w:val="0"/>
                <w:i w:val="0"/>
                <w:sz w:val="18"/>
              </w:rPr>
              <w:t>+0,312</w:t>
            </w:r>
          </w:p>
        </w:tc>
        <w:tc>
          <w:tcPr>
            <w:tcW w:type="dxa" w:w="1814"/>
          </w:tcPr>
          <w:p>
            <w:pPr>
              <w:spacing w:before="20" w:after="20" w:line="240" w:lineRule="auto"/>
              <w:jc w:val="center"/>
            </w:pPr>
            <w:r/>
            <w:r>
              <w:rPr>
                <w:rFonts w:ascii="Arial" w:hAnsi="Arial" w:eastAsia="Arial" w:cs="Arial"/>
                <w:b w:val="0"/>
                <w:i w:val="0"/>
                <w:sz w:val="18"/>
              </w:rPr>
              <w:t>0,32 ± 0,17</w:t>
            </w:r>
          </w:p>
        </w:tc>
        <w:tc>
          <w:tcPr>
            <w:tcW w:type="dxa" w:w="1814"/>
          </w:tcPr>
          <w:p>
            <w:pPr>
              <w:spacing w:before="20" w:after="20" w:line="240" w:lineRule="auto"/>
              <w:jc w:val="center"/>
            </w:pPr>
            <w:r/>
            <w:r>
              <w:rPr>
                <w:rFonts w:ascii="Arial" w:hAnsi="Arial" w:eastAsia="Arial" w:cs="Arial"/>
                <w:b w:val="0"/>
                <w:i w:val="0"/>
                <w:sz w:val="18"/>
              </w:rPr>
              <w:t>−0,008</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Soma baristática</w:t>
            </w:r>
          </w:p>
        </w:tc>
        <w:tc>
          <w:tcPr>
            <w:tcW w:type="dxa" w:w="1814"/>
          </w:tcPr>
          <w:p>
            <w:pPr>
              <w:spacing w:before="20" w:after="20" w:line="240" w:lineRule="auto"/>
              <w:jc w:val="center"/>
            </w:pPr>
            <w:r/>
            <w:r>
              <w:rPr>
                <w:rFonts w:ascii="Arial" w:hAnsi="Arial" w:eastAsia="Arial" w:cs="Arial"/>
                <w:b w:val="0"/>
                <w:i w:val="0"/>
                <w:sz w:val="18"/>
              </w:rPr>
              <w:t>+1,896</w:t>
            </w:r>
          </w:p>
        </w:tc>
        <w:tc>
          <w:tcPr>
            <w:tcW w:type="dxa" w:w="1814"/>
          </w:tcPr>
          <w:p>
            <w:pPr>
              <w:spacing w:before="20" w:after="20" w:line="240" w:lineRule="auto"/>
              <w:jc w:val="center"/>
            </w:pPr>
            <w:r/>
            <w:r>
              <w:rPr>
                <w:rFonts w:ascii="Arial" w:hAnsi="Arial" w:eastAsia="Arial" w:cs="Arial"/>
                <w:b w:val="0"/>
                <w:i w:val="0"/>
                <w:sz w:val="18"/>
              </w:rPr>
              <w:t>1,91 ± 0,22</w:t>
            </w:r>
          </w:p>
        </w:tc>
        <w:tc>
          <w:tcPr>
            <w:tcW w:type="dxa" w:w="1814"/>
          </w:tcPr>
          <w:p>
            <w:pPr>
              <w:spacing w:before="20" w:after="20" w:line="240" w:lineRule="auto"/>
              <w:jc w:val="center"/>
            </w:pPr>
            <w:r/>
            <w:r>
              <w:rPr>
                <w:rFonts w:ascii="Arial" w:hAnsi="Arial" w:eastAsia="Arial" w:cs="Arial"/>
                <w:b w:val="0"/>
                <w:i w:val="0"/>
                <w:sz w:val="18"/>
              </w:rPr>
              <w:t>−0,014</w:t>
            </w:r>
          </w:p>
        </w:tc>
        <w:tc>
          <w:tcPr>
            <w:tcW w:type="dxa" w:w="1814"/>
          </w:tcPr>
          <w:p>
            <w:pPr>
              <w:spacing w:before="20" w:after="20" w:line="240" w:lineRule="auto"/>
              <w:jc w:val="center"/>
            </w:pPr>
            <w:r/>
            <w:r>
              <w:rPr>
                <w:rFonts w:ascii="Arial" w:hAnsi="Arial" w:eastAsia="Arial" w:cs="Arial"/>
                <w:b w:val="0"/>
                <w:i w:val="0"/>
                <w:sz w:val="18"/>
              </w:rPr>
              <w:t>sim</w:t>
            </w:r>
          </w:p>
        </w:tc>
      </w:tr>
    </w:tbl>
    <w:p>
      <w:pPr>
        <w:spacing w:before="0" w:after="240" w:line="240" w:lineRule="auto"/>
        <w:ind w:firstLine="0"/>
        <w:jc w:val="center"/>
      </w:pPr>
      <w:r>
        <w:rPr>
          <w:rFonts w:ascii="Arial" w:hAnsi="Arial" w:eastAsia="Arial" w:cs="Arial"/>
          <w:b w:val="0"/>
          <w:i w:val="0"/>
          <w:sz w:val="20"/>
        </w:rPr>
        <w:t>Fonte: Elaborado pelos autores (2026), a partir de Frederikse et al. (2020).</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de forma quase monotônica de 0,97 na foz do Amazonas a 1,32 no Rio Grande do Sul (correlação com a latitude r = −0,98; a única inversão, de 1,263 para 1,257 entre 22,9° S e 23,5° S, é de 0,5%), enquanto o da Antártica decresce de 1,15 para 0,68 (r = +0,93). Os dois gradientes têm sinal oposto porque descrevem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A primeira é quantitativa: cada milímetro de elevação média global causado pelo degelo polar produz cerca de 1,12 mm na costa brasileira, uma amplificação de 12% que as projeções que aplicam a média global sem correção deixam de contabilizar. A segunda é operacional: como o fator é praticamente uniforme, uma única constante de amplificação é suficiente para todo o litoral brasileiro, o que simplifica consideravelmente qualquer aplicação prática.</w:t>
      </w:r>
    </w:p>
    <w:p>
      <w:pPr>
        <w:spacing w:before="0" w:after="120" w:line="360" w:lineRule="auto"/>
        <w:ind w:firstLine="709"/>
        <w:jc w:val="both"/>
      </w:pPr>
      <w:r>
        <w:rPr>
          <w:rFonts w:ascii="Arial" w:hAnsi="Arial" w:eastAsia="Arial" w:cs="Arial"/>
          <w:b w:val="0"/>
          <w:i w:val="0"/>
          <w:sz w:val="24"/>
        </w:rPr>
        <w:t xml:space="preserve">Os pontos de contraste confirmam a física subjacente. Em Nuuk, na Groenlândia, o fator do próprio manto groenlandês é −7,49; no Mar de Amundsen, o fator antártico é −10,08. Nas águas que banham a fonte do degelo o nível relativo do mar </w:t>
      </w:r>
      <w:r>
        <w:rPr>
          <w:rFonts w:ascii="Arial" w:hAnsi="Arial" w:eastAsia="Arial" w:cs="Arial"/>
          <w:b/>
          <w:i w:val="0"/>
          <w:sz w:val="24"/>
        </w:rPr>
        <w:t>cai</w:t>
      </w:r>
      <w:r>
        <w:rPr>
          <w:rFonts w:ascii="Arial" w:hAnsi="Arial" w:eastAsia="Arial" w:cs="Arial"/>
          <w:b w:val="0"/>
          <w:i w:val="0"/>
          <w:sz w:val="24"/>
        </w:rPr>
        <w:t>, porque a perda de atração gravitacional do gelo e o rebote elástico da crosta superam o acréscimo de volume de água. No campo distante, onde está o Brasil, encontra-se o excedente.</w:t>
      </w:r>
    </w:p>
    <w:p>
      <w:pPr>
        <w:spacing w:before="0" w:after="120" w:line="360" w:lineRule="auto"/>
        <w:ind w:firstLine="709"/>
        <w:jc w:val="both"/>
      </w:pPr>
      <w:r>
        <w:rPr>
          <w:rFonts w:ascii="Arial" w:hAnsi="Arial" w:eastAsia="Arial" w:cs="Arial"/>
          <w:b w:val="0"/>
          <w:i w:val="0"/>
          <w:sz w:val="24"/>
        </w:rPr>
        <w:t xml:space="preserve">O trabalho mais próximo do presente, em termos de objeto, é o de Roffman et al. (2023), que calculou padrões de nível do mar com efeitos gravitacionais, rotacionais e deformacionais para projeções dos dois mantos e identificou, na costa sul-americana, amplificação de até 2,9 vezes o equivalente médio global em cenário de </w:t>
      </w:r>
      <w:r>
        <w:rPr>
          <w:rFonts w:ascii="Arial" w:hAnsi="Arial" w:eastAsia="Arial" w:cs="Arial"/>
          <w:b/>
          <w:i w:val="0"/>
          <w:sz w:val="24"/>
        </w:rPr>
        <w:t>ganho</w:t>
      </w:r>
      <w:r>
        <w:rPr>
          <w:rFonts w:ascii="Arial" w:hAnsi="Arial" w:eastAsia="Arial" w:cs="Arial"/>
          <w:b w:val="0"/>
          <w:i w:val="0"/>
          <w:sz w:val="24"/>
        </w:rPr>
        <w:t xml:space="preserve"> de massa na Península Antártica, por interferência construtiva dos efeitos. Os dois resultados não são comparáveis diretamente, por descreverem cenários de sinal oposto, mas convergem no ponto essencial: a costa sul-americana situa-se em região de amplificação, e tratá-la pela média global subestima sistematicamente a resposta local.</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 a partir dos campos de Frederikse et al. (2020).</w:t>
      </w:r>
    </w:p>
    <w:p>
      <w:pPr>
        <w:spacing w:before="240" w:after="160" w:line="360" w:lineRule="auto"/>
        <w:ind w:firstLine="0"/>
        <w:jc w:val="left"/>
      </w:pPr>
      <w:r>
        <w:rPr>
          <w:rFonts w:ascii="Arial" w:hAnsi="Arial" w:eastAsia="Arial" w:cs="Arial"/>
          <w:b/>
          <w:i w:val="0"/>
          <w:sz w:val="24"/>
        </w:rPr>
        <w:t>4.3 O orçamento fecha, e onde não fecha isso é informativo</w:t>
      </w:r>
    </w:p>
    <w:p>
      <w:pPr>
        <w:spacing w:before="0" w:after="120" w:line="360" w:lineRule="auto"/>
        <w:ind w:firstLine="709"/>
        <w:jc w:val="both"/>
      </w:pPr>
      <w:r>
        <w:rPr>
          <w:rFonts w:ascii="Arial" w:hAnsi="Arial" w:eastAsia="Arial" w:cs="Arial"/>
          <w:b w:val="0"/>
          <w:i w:val="0"/>
          <w:sz w:val="24"/>
        </w:rPr>
        <w:t>A Figura 3 e a Tabela 3 apresentam a validação V2. Em escala global o orçamento fecha em todos os períodos: de 1900 a 2018, a soma dos contribuintes é 1,524 mm/ano contra 1,563 mm/ano observados, resíduo de 0,039 mm/ano; de 1993 a 2018, 3,159 contra 3,353 mm/ano. Os mantos de gelo respondem por 33,3% da elevação global no período longo e 29,1% na era altimétrica. No Atlântico Sul, bacia que banha o Brasil, a parcela das calotas é de 28,9%.</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 (% do observado)</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no período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0"/>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R² de 0,734 contra 0,235 na Ilha Fiscal, intervalo de confiança estreito, nenhum sinal de problema nos diagnósticos de regressão. E, no entanto, o teste de fechamento a rejeita: a tendência observada de 4,099 mm/ano excede em 3,3 mm/ano tudo o que os processos físicos conhecidos conseguem explicar, com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estatístico excelente sobre dados fisicamente inconsistentes continua sendo um ajuste sobre dados inconsistentes, e essa é a principal lição metodológica que o presente estudo extrai de sua própria análise.</w:t>
      </w:r>
    </w:p>
    <w:p>
      <w:pPr>
        <w:spacing w:before="0" w:after="120" w:line="360" w:lineRule="auto"/>
        <w:ind w:firstLine="709"/>
        <w:jc w:val="both"/>
      </w:pPr>
      <w:r>
        <w:rPr>
          <w:rFonts w:ascii="Arial" w:hAnsi="Arial" w:eastAsia="Arial" w:cs="Arial"/>
          <w:b w:val="0"/>
          <w:i w:val="0"/>
          <w:sz w:val="24"/>
        </w:rPr>
        <w:t>Observe-se ainda que, na Ilha Fiscal, a correção de Newey-West infla o erro padrão da tendência em 1,68 vez em relação ao mínimos quadrados clássico, com autocorrelação de resíduos de 0,68. Intervalos de confiança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Por que não basta aplicar aprendizado de máquina à série local</w:t>
      </w:r>
    </w:p>
    <w:p>
      <w:pPr>
        <w:spacing w:before="0" w:after="120" w:line="360" w:lineRule="auto"/>
        <w:ind w:firstLine="709"/>
        <w:jc w:val="both"/>
      </w:pPr>
      <w:r>
        <w:rPr>
          <w:rFonts w:ascii="Arial" w:hAnsi="Arial" w:eastAsia="Arial" w:cs="Arial"/>
          <w:b w:val="0"/>
          <w:i w:val="0"/>
          <w:sz w:val="24"/>
        </w:rPr>
        <w:t>Quinze algoritmos preditivos foram submetidos a validação cruzada de origem móvel sobre a série anual da Ilha Fiscal, com 29 origens de treino e horizontes de 1 a 20 anos. O resultado, apresentado na Tabela 4 e na Figura 4, é inequívoco e negativo.</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Erro quadrático médio fora da amostra, série da Ilha Fiscal (mm).</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Algoritmo</w:t>
            </w:r>
          </w:p>
        </w:tc>
        <w:tc>
          <w:tcPr>
            <w:tcW w:type="dxa" w:w="1814"/>
            <w:shd w:val="clear" w:color="auto" w:fill="EFEFEC"/>
          </w:tcPr>
          <w:p>
            <w:pPr>
              <w:spacing w:before="20" w:after="20" w:line="240" w:lineRule="auto"/>
              <w:jc w:val="center"/>
            </w:pPr>
            <w:r/>
            <w:r>
              <w:rPr>
                <w:rFonts w:ascii="Arial" w:hAnsi="Arial" w:eastAsia="Arial" w:cs="Arial"/>
                <w:b/>
                <w:i w:val="0"/>
                <w:sz w:val="18"/>
              </w:rPr>
              <w:t>h = 1</w:t>
            </w:r>
          </w:p>
        </w:tc>
        <w:tc>
          <w:tcPr>
            <w:tcW w:type="dxa" w:w="1814"/>
            <w:shd w:val="clear" w:color="auto" w:fill="EFEFEC"/>
          </w:tcPr>
          <w:p>
            <w:pPr>
              <w:spacing w:before="20" w:after="20" w:line="240" w:lineRule="auto"/>
              <w:jc w:val="center"/>
            </w:pPr>
            <w:r/>
            <w:r>
              <w:rPr>
                <w:rFonts w:ascii="Arial" w:hAnsi="Arial" w:eastAsia="Arial" w:cs="Arial"/>
                <w:b/>
                <w:i w:val="0"/>
                <w:sz w:val="18"/>
              </w:rPr>
              <w:t>h = 5</w:t>
            </w:r>
          </w:p>
        </w:tc>
        <w:tc>
          <w:tcPr>
            <w:tcW w:type="dxa" w:w="1814"/>
            <w:shd w:val="clear" w:color="auto" w:fill="EFEFEC"/>
          </w:tcPr>
          <w:p>
            <w:pPr>
              <w:spacing w:before="20" w:after="20" w:line="240" w:lineRule="auto"/>
              <w:jc w:val="center"/>
            </w:pPr>
            <w:r/>
            <w:r>
              <w:rPr>
                <w:rFonts w:ascii="Arial" w:hAnsi="Arial" w:eastAsia="Arial" w:cs="Arial"/>
                <w:b/>
                <w:i w:val="0"/>
                <w:sz w:val="18"/>
              </w:rPr>
              <w:t>h = 10</w:t>
            </w:r>
          </w:p>
        </w:tc>
        <w:tc>
          <w:tcPr>
            <w:tcW w:type="dxa" w:w="1814"/>
            <w:shd w:val="clear" w:color="auto" w:fill="EFEFEC"/>
          </w:tcPr>
          <w:p>
            <w:pPr>
              <w:spacing w:before="20" w:after="20" w:line="240" w:lineRule="auto"/>
              <w:jc w:val="center"/>
            </w:pPr>
            <w:r/>
            <w:r>
              <w:rPr>
                <w:rFonts w:ascii="Arial" w:hAnsi="Arial" w:eastAsia="Arial" w:cs="Arial"/>
                <w:b/>
                <w:i w:val="0"/>
                <w:sz w:val="18"/>
              </w:rPr>
              <w:t>h = 20</w:t>
            </w:r>
          </w:p>
        </w:tc>
      </w:tr>
      <w:tr>
        <w:tc>
          <w:tcPr>
            <w:tcW w:type="dxa" w:w="1814"/>
          </w:tcPr>
          <w:p>
            <w:pPr>
              <w:spacing w:before="20" w:after="20" w:line="240" w:lineRule="auto"/>
              <w:jc w:val="left"/>
            </w:pPr>
            <w:r/>
            <w:r>
              <w:rPr>
                <w:rFonts w:ascii="Arial" w:hAnsi="Arial" w:eastAsia="Arial" w:cs="Arial"/>
                <w:b w:val="0"/>
                <w:i w:val="0"/>
                <w:sz w:val="18"/>
              </w:rPr>
              <w:t>Processo gaussiano</w:t>
            </w:r>
          </w:p>
        </w:tc>
        <w:tc>
          <w:tcPr>
            <w:tcW w:type="dxa" w:w="1814"/>
          </w:tcPr>
          <w:p>
            <w:pPr>
              <w:spacing w:before="20" w:after="20" w:line="240" w:lineRule="auto"/>
              <w:jc w:val="center"/>
            </w:pPr>
            <w:r/>
            <w:r>
              <w:rPr>
                <w:rFonts w:ascii="Arial" w:hAnsi="Arial" w:eastAsia="Arial" w:cs="Arial"/>
                <w:b w:val="0"/>
                <w:i w:val="0"/>
                <w:sz w:val="18"/>
              </w:rPr>
              <w:t>52,3</w:t>
            </w:r>
          </w:p>
        </w:tc>
        <w:tc>
          <w:tcPr>
            <w:tcW w:type="dxa" w:w="1814"/>
          </w:tcPr>
          <w:p>
            <w:pPr>
              <w:spacing w:before="20" w:after="20" w:line="240" w:lineRule="auto"/>
              <w:jc w:val="center"/>
            </w:pPr>
            <w:r/>
            <w:r>
              <w:rPr>
                <w:rFonts w:ascii="Arial" w:hAnsi="Arial" w:eastAsia="Arial" w:cs="Arial"/>
                <w:b w:val="0"/>
                <w:i w:val="0"/>
                <w:sz w:val="18"/>
              </w:rPr>
              <w:t>71,3</w:t>
            </w:r>
          </w:p>
        </w:tc>
        <w:tc>
          <w:tcPr>
            <w:tcW w:type="dxa" w:w="1814"/>
          </w:tcPr>
          <w:p>
            <w:pPr>
              <w:spacing w:before="20" w:after="20" w:line="240" w:lineRule="auto"/>
              <w:jc w:val="center"/>
            </w:pPr>
            <w:r/>
            <w:r>
              <w:rPr>
                <w:rFonts w:ascii="Arial" w:hAnsi="Arial" w:eastAsia="Arial" w:cs="Arial"/>
                <w:b w:val="0"/>
                <w:i w:val="0"/>
                <w:sz w:val="18"/>
              </w:rPr>
              <w:t>80,0</w:t>
            </w:r>
          </w:p>
        </w:tc>
        <w:tc>
          <w:tcPr>
            <w:tcW w:type="dxa" w:w="1814"/>
          </w:tcPr>
          <w:p>
            <w:pPr>
              <w:spacing w:before="20" w:after="20" w:line="240" w:lineRule="auto"/>
              <w:jc w:val="center"/>
            </w:pPr>
            <w:r/>
            <w:r>
              <w:rPr>
                <w:rFonts w:ascii="Arial" w:hAnsi="Arial" w:eastAsia="Arial" w:cs="Arial"/>
                <w:b/>
                <w:i w:val="0"/>
                <w:sz w:val="18"/>
              </w:rPr>
              <w:t>91,1</w:t>
            </w:r>
          </w:p>
        </w:tc>
      </w:tr>
      <w:tr>
        <w:tc>
          <w:tcPr>
            <w:tcW w:type="dxa" w:w="1814"/>
          </w:tcPr>
          <w:p>
            <w:pPr>
              <w:spacing w:before="20" w:after="20" w:line="240" w:lineRule="auto"/>
              <w:jc w:val="left"/>
            </w:pPr>
            <w:r/>
            <w:r>
              <w:rPr>
                <w:rFonts w:ascii="Arial" w:hAnsi="Arial" w:eastAsia="Arial" w:cs="Arial"/>
                <w:b w:val="0"/>
                <w:i w:val="0"/>
                <w:sz w:val="18"/>
              </w:rPr>
              <w:t>k-vizinhos (k = 5)</w:t>
            </w:r>
          </w:p>
        </w:tc>
        <w:tc>
          <w:tcPr>
            <w:tcW w:type="dxa" w:w="1814"/>
          </w:tcPr>
          <w:p>
            <w:pPr>
              <w:spacing w:before="20" w:after="20" w:line="240" w:lineRule="auto"/>
              <w:jc w:val="center"/>
            </w:pPr>
            <w:r/>
            <w:r>
              <w:rPr>
                <w:rFonts w:ascii="Arial" w:hAnsi="Arial" w:eastAsia="Arial" w:cs="Arial"/>
                <w:b w:val="0"/>
                <w:i w:val="0"/>
                <w:sz w:val="18"/>
              </w:rPr>
              <w:t>56,8</w:t>
            </w:r>
          </w:p>
        </w:tc>
        <w:tc>
          <w:tcPr>
            <w:tcW w:type="dxa" w:w="1814"/>
          </w:tcPr>
          <w:p>
            <w:pPr>
              <w:spacing w:before="20" w:after="20" w:line="240" w:lineRule="auto"/>
              <w:jc w:val="center"/>
            </w:pPr>
            <w:r/>
            <w:r>
              <w:rPr>
                <w:rFonts w:ascii="Arial" w:hAnsi="Arial" w:eastAsia="Arial" w:cs="Arial"/>
                <w:b w:val="0"/>
                <w:i w:val="0"/>
                <w:sz w:val="18"/>
              </w:rPr>
              <w:t>66,4</w:t>
            </w:r>
          </w:p>
        </w:tc>
        <w:tc>
          <w:tcPr>
            <w:tcW w:type="dxa" w:w="1814"/>
          </w:tcPr>
          <w:p>
            <w:pPr>
              <w:spacing w:before="20" w:after="20" w:line="240" w:lineRule="auto"/>
              <w:jc w:val="center"/>
            </w:pPr>
            <w:r/>
            <w:r>
              <w:rPr>
                <w:rFonts w:ascii="Arial" w:hAnsi="Arial" w:eastAsia="Arial" w:cs="Arial"/>
                <w:b w:val="0"/>
                <w:i w:val="0"/>
                <w:sz w:val="18"/>
              </w:rPr>
              <w:t>78,6</w:t>
            </w:r>
          </w:p>
        </w:tc>
        <w:tc>
          <w:tcPr>
            <w:tcW w:type="dxa" w:w="1814"/>
          </w:tcPr>
          <w:p>
            <w:pPr>
              <w:spacing w:before="20" w:after="20" w:line="240" w:lineRule="auto"/>
              <w:jc w:val="center"/>
            </w:pPr>
            <w:r/>
            <w:r>
              <w:rPr>
                <w:rFonts w:ascii="Arial" w:hAnsi="Arial" w:eastAsia="Arial" w:cs="Arial"/>
                <w:b w:val="0"/>
                <w:i w:val="0"/>
                <w:sz w:val="18"/>
              </w:rPr>
              <w:t>93,2</w:t>
            </w:r>
          </w:p>
        </w:tc>
      </w:tr>
      <w:tr>
        <w:tc>
          <w:tcPr>
            <w:tcW w:type="dxa" w:w="1814"/>
          </w:tcPr>
          <w:p>
            <w:pPr>
              <w:spacing w:before="20" w:after="20" w:line="240" w:lineRule="auto"/>
              <w:jc w:val="left"/>
            </w:pPr>
            <w:r/>
            <w:r>
              <w:rPr>
                <w:rFonts w:ascii="Arial" w:hAnsi="Arial" w:eastAsia="Arial" w:cs="Arial"/>
                <w:b/>
                <w:i w:val="0"/>
                <w:sz w:val="18"/>
              </w:rPr>
              <w:t>Média do treino (linha de base trivial)</w:t>
            </w:r>
          </w:p>
        </w:tc>
        <w:tc>
          <w:tcPr>
            <w:tcW w:type="dxa" w:w="1814"/>
          </w:tcPr>
          <w:p>
            <w:pPr>
              <w:spacing w:before="20" w:after="20" w:line="240" w:lineRule="auto"/>
              <w:jc w:val="center"/>
            </w:pPr>
            <w:r/>
            <w:r>
              <w:rPr>
                <w:rFonts w:ascii="Arial" w:hAnsi="Arial" w:eastAsia="Arial" w:cs="Arial"/>
                <w:b w:val="0"/>
                <w:i w:val="0"/>
                <w:sz w:val="18"/>
              </w:rPr>
              <w:t>76,3</w:t>
            </w:r>
          </w:p>
        </w:tc>
        <w:tc>
          <w:tcPr>
            <w:tcW w:type="dxa" w:w="1814"/>
          </w:tcPr>
          <w:p>
            <w:pPr>
              <w:spacing w:before="20" w:after="20" w:line="240" w:lineRule="auto"/>
              <w:jc w:val="center"/>
            </w:pPr>
            <w:r/>
            <w:r>
              <w:rPr>
                <w:rFonts w:ascii="Arial" w:hAnsi="Arial" w:eastAsia="Arial" w:cs="Arial"/>
                <w:b w:val="0"/>
                <w:i w:val="0"/>
                <w:sz w:val="18"/>
              </w:rPr>
              <w:t>80,5</w:t>
            </w:r>
          </w:p>
        </w:tc>
        <w:tc>
          <w:tcPr>
            <w:tcW w:type="dxa" w:w="1814"/>
          </w:tcPr>
          <w:p>
            <w:pPr>
              <w:spacing w:before="20" w:after="20" w:line="240" w:lineRule="auto"/>
              <w:jc w:val="center"/>
            </w:pPr>
            <w:r/>
            <w:r>
              <w:rPr>
                <w:rFonts w:ascii="Arial" w:hAnsi="Arial" w:eastAsia="Arial" w:cs="Arial"/>
                <w:b w:val="0"/>
                <w:i w:val="0"/>
                <w:sz w:val="18"/>
              </w:rPr>
              <w:t>84,4</w:t>
            </w:r>
          </w:p>
        </w:tc>
        <w:tc>
          <w:tcPr>
            <w:tcW w:type="dxa" w:w="1814"/>
          </w:tcPr>
          <w:p>
            <w:pPr>
              <w:spacing w:before="20" w:after="20" w:line="240" w:lineRule="auto"/>
              <w:jc w:val="center"/>
            </w:pPr>
            <w:r/>
            <w:r>
              <w:rPr>
                <w:rFonts w:ascii="Arial" w:hAnsi="Arial" w:eastAsia="Arial" w:cs="Arial"/>
                <w:b/>
                <w:i w:val="0"/>
                <w:sz w:val="18"/>
              </w:rPr>
              <w:t>93,8</w:t>
            </w:r>
          </w:p>
        </w:tc>
      </w:tr>
      <w:tr>
        <w:tc>
          <w:tcPr>
            <w:tcW w:type="dxa" w:w="1814"/>
          </w:tcPr>
          <w:p>
            <w:pPr>
              <w:spacing w:before="20" w:after="20" w:line="240" w:lineRule="auto"/>
              <w:jc w:val="left"/>
            </w:pPr>
            <w:r/>
            <w:r>
              <w:rPr>
                <w:rFonts w:ascii="Arial" w:hAnsi="Arial" w:eastAsia="Arial" w:cs="Arial"/>
                <w:b w:val="0"/>
                <w:i w:val="0"/>
                <w:sz w:val="18"/>
              </w:rPr>
              <w:t>Floresta aleatória</w:t>
            </w:r>
          </w:p>
        </w:tc>
        <w:tc>
          <w:tcPr>
            <w:tcW w:type="dxa" w:w="1814"/>
          </w:tcPr>
          <w:p>
            <w:pPr>
              <w:spacing w:before="20" w:after="20" w:line="240" w:lineRule="auto"/>
              <w:jc w:val="center"/>
            </w:pPr>
            <w:r/>
            <w:r>
              <w:rPr>
                <w:rFonts w:ascii="Arial" w:hAnsi="Arial" w:eastAsia="Arial" w:cs="Arial"/>
                <w:b w:val="0"/>
                <w:i w:val="0"/>
                <w:sz w:val="18"/>
              </w:rPr>
              <w:t>46,5</w:t>
            </w:r>
          </w:p>
        </w:tc>
        <w:tc>
          <w:tcPr>
            <w:tcW w:type="dxa" w:w="1814"/>
          </w:tcPr>
          <w:p>
            <w:pPr>
              <w:spacing w:before="20" w:after="20" w:line="240" w:lineRule="auto"/>
              <w:jc w:val="center"/>
            </w:pPr>
            <w:r/>
            <w:r>
              <w:rPr>
                <w:rFonts w:ascii="Arial" w:hAnsi="Arial" w:eastAsia="Arial" w:cs="Arial"/>
                <w:b w:val="0"/>
                <w:i w:val="0"/>
                <w:sz w:val="18"/>
              </w:rPr>
              <w:t>66,0</w:t>
            </w:r>
          </w:p>
        </w:tc>
        <w:tc>
          <w:tcPr>
            <w:tcW w:type="dxa" w:w="1814"/>
          </w:tcPr>
          <w:p>
            <w:pPr>
              <w:spacing w:before="20" w:after="20" w:line="240" w:lineRule="auto"/>
              <w:jc w:val="center"/>
            </w:pPr>
            <w:r/>
            <w:r>
              <w:rPr>
                <w:rFonts w:ascii="Arial" w:hAnsi="Arial" w:eastAsia="Arial" w:cs="Arial"/>
                <w:b w:val="0"/>
                <w:i w:val="0"/>
                <w:sz w:val="18"/>
              </w:rPr>
              <w:t>76,2</w:t>
            </w:r>
          </w:p>
        </w:tc>
        <w:tc>
          <w:tcPr>
            <w:tcW w:type="dxa" w:w="1814"/>
          </w:tcPr>
          <w:p>
            <w:pPr>
              <w:spacing w:before="20" w:after="20" w:line="240" w:lineRule="auto"/>
              <w:jc w:val="center"/>
            </w:pPr>
            <w:r/>
            <w:r>
              <w:rPr>
                <w:rFonts w:ascii="Arial" w:hAnsi="Arial" w:eastAsia="Arial" w:cs="Arial"/>
                <w:b w:val="0"/>
                <w:i w:val="0"/>
                <w:sz w:val="18"/>
              </w:rPr>
              <w:t>94,9</w:t>
            </w:r>
          </w:p>
        </w:tc>
      </w:tr>
      <w:tr>
        <w:tc>
          <w:tcPr>
            <w:tcW w:type="dxa" w:w="1814"/>
          </w:tcPr>
          <w:p>
            <w:pPr>
              <w:spacing w:before="20" w:after="20" w:line="240" w:lineRule="auto"/>
              <w:jc w:val="left"/>
            </w:pPr>
            <w:r/>
            <w:r>
              <w:rPr>
                <w:rFonts w:ascii="Arial" w:hAnsi="Arial" w:eastAsia="Arial" w:cs="Arial"/>
                <w:b w:val="0"/>
                <w:i w:val="0"/>
                <w:sz w:val="18"/>
              </w:rPr>
              <w:t>Gradient boosting</w:t>
            </w:r>
          </w:p>
        </w:tc>
        <w:tc>
          <w:tcPr>
            <w:tcW w:type="dxa" w:w="1814"/>
          </w:tcPr>
          <w:p>
            <w:pPr>
              <w:spacing w:before="20" w:after="20" w:line="240" w:lineRule="auto"/>
              <w:jc w:val="center"/>
            </w:pPr>
            <w:r/>
            <w:r>
              <w:rPr>
                <w:rFonts w:ascii="Arial" w:hAnsi="Arial" w:eastAsia="Arial" w:cs="Arial"/>
                <w:b w:val="0"/>
                <w:i w:val="0"/>
                <w:sz w:val="18"/>
              </w:rPr>
              <w:t>44,1</w:t>
            </w:r>
          </w:p>
        </w:tc>
        <w:tc>
          <w:tcPr>
            <w:tcW w:type="dxa" w:w="1814"/>
          </w:tcPr>
          <w:p>
            <w:pPr>
              <w:spacing w:before="20" w:after="20" w:line="240" w:lineRule="auto"/>
              <w:jc w:val="center"/>
            </w:pPr>
            <w:r/>
            <w:r>
              <w:rPr>
                <w:rFonts w:ascii="Arial" w:hAnsi="Arial" w:eastAsia="Arial" w:cs="Arial"/>
                <w:b w:val="0"/>
                <w:i w:val="0"/>
                <w:sz w:val="18"/>
              </w:rPr>
              <w:t>68,6</w:t>
            </w:r>
          </w:p>
        </w:tc>
        <w:tc>
          <w:tcPr>
            <w:tcW w:type="dxa" w:w="1814"/>
          </w:tcPr>
          <w:p>
            <w:pPr>
              <w:spacing w:before="20" w:after="20" w:line="240" w:lineRule="auto"/>
              <w:jc w:val="center"/>
            </w:pPr>
            <w:r/>
            <w:r>
              <w:rPr>
                <w:rFonts w:ascii="Arial" w:hAnsi="Arial" w:eastAsia="Arial" w:cs="Arial"/>
                <w:b w:val="0"/>
                <w:i w:val="0"/>
                <w:sz w:val="18"/>
              </w:rPr>
              <w:t>78,4</w:t>
            </w:r>
          </w:p>
        </w:tc>
        <w:tc>
          <w:tcPr>
            <w:tcW w:type="dxa" w:w="1814"/>
          </w:tcPr>
          <w:p>
            <w:pPr>
              <w:spacing w:before="20" w:after="20" w:line="240" w:lineRule="auto"/>
              <w:jc w:val="center"/>
            </w:pPr>
            <w:r/>
            <w:r>
              <w:rPr>
                <w:rFonts w:ascii="Arial" w:hAnsi="Arial" w:eastAsia="Arial" w:cs="Arial"/>
                <w:b w:val="0"/>
                <w:i w:val="0"/>
                <w:sz w:val="18"/>
              </w:rPr>
              <w:t>98,1</w:t>
            </w:r>
          </w:p>
        </w:tc>
      </w:tr>
      <w:tr>
        <w:tc>
          <w:tcPr>
            <w:tcW w:type="dxa" w:w="1814"/>
          </w:tcPr>
          <w:p>
            <w:pPr>
              <w:spacing w:before="20" w:after="20" w:line="240" w:lineRule="auto"/>
              <w:jc w:val="left"/>
            </w:pPr>
            <w:r/>
            <w:r>
              <w:rPr>
                <w:rFonts w:ascii="Arial" w:hAnsi="Arial" w:eastAsia="Arial" w:cs="Arial"/>
                <w:b w:val="0"/>
                <w:i w:val="0"/>
                <w:sz w:val="18"/>
              </w:rPr>
              <w:t>ARIMA(1,1,1)</w:t>
            </w:r>
          </w:p>
        </w:tc>
        <w:tc>
          <w:tcPr>
            <w:tcW w:type="dxa" w:w="1814"/>
          </w:tcPr>
          <w:p>
            <w:pPr>
              <w:spacing w:before="20" w:after="20" w:line="240" w:lineRule="auto"/>
              <w:jc w:val="center"/>
            </w:pPr>
            <w:r/>
            <w:r>
              <w:rPr>
                <w:rFonts w:ascii="Arial" w:hAnsi="Arial" w:eastAsia="Arial" w:cs="Arial"/>
                <w:b w:val="0"/>
                <w:i w:val="0"/>
                <w:sz w:val="18"/>
              </w:rPr>
              <w:t>47,0</w:t>
            </w:r>
          </w:p>
        </w:tc>
        <w:tc>
          <w:tcPr>
            <w:tcW w:type="dxa" w:w="1814"/>
          </w:tcPr>
          <w:p>
            <w:pPr>
              <w:spacing w:before="20" w:after="20" w:line="240" w:lineRule="auto"/>
              <w:jc w:val="center"/>
            </w:pPr>
            <w:r/>
            <w:r>
              <w:rPr>
                <w:rFonts w:ascii="Arial" w:hAnsi="Arial" w:eastAsia="Arial" w:cs="Arial"/>
                <w:b w:val="0"/>
                <w:i w:val="0"/>
                <w:sz w:val="18"/>
              </w:rPr>
              <w:t>72,2</w:t>
            </w:r>
          </w:p>
        </w:tc>
        <w:tc>
          <w:tcPr>
            <w:tcW w:type="dxa" w:w="1814"/>
          </w:tcPr>
          <w:p>
            <w:pPr>
              <w:spacing w:before="20" w:after="20" w:line="240" w:lineRule="auto"/>
              <w:jc w:val="center"/>
            </w:pPr>
            <w:r/>
            <w:r>
              <w:rPr>
                <w:rFonts w:ascii="Arial" w:hAnsi="Arial" w:eastAsia="Arial" w:cs="Arial"/>
                <w:b w:val="0"/>
                <w:i w:val="0"/>
                <w:sz w:val="18"/>
              </w:rPr>
              <w:t>83,7</w:t>
            </w:r>
          </w:p>
        </w:tc>
        <w:tc>
          <w:tcPr>
            <w:tcW w:type="dxa" w:w="1814"/>
          </w:tcPr>
          <w:p>
            <w:pPr>
              <w:spacing w:before="20" w:after="20" w:line="240" w:lineRule="auto"/>
              <w:jc w:val="center"/>
            </w:pPr>
            <w:r/>
            <w:r>
              <w:rPr>
                <w:rFonts w:ascii="Arial" w:hAnsi="Arial" w:eastAsia="Arial" w:cs="Arial"/>
                <w:b w:val="0"/>
                <w:i w:val="0"/>
                <w:sz w:val="18"/>
              </w:rPr>
              <w:t>103,5</w:t>
            </w:r>
          </w:p>
        </w:tc>
      </w:tr>
      <w:tr>
        <w:tc>
          <w:tcPr>
            <w:tcW w:type="dxa" w:w="1814"/>
          </w:tcPr>
          <w:p>
            <w:pPr>
              <w:spacing w:before="20" w:after="20" w:line="240" w:lineRule="auto"/>
              <w:jc w:val="left"/>
            </w:pPr>
            <w:r/>
            <w:r>
              <w:rPr>
                <w:rFonts w:ascii="Arial" w:hAnsi="Arial" w:eastAsia="Arial" w:cs="Arial"/>
                <w:b w:val="0"/>
                <w:i w:val="0"/>
                <w:sz w:val="18"/>
              </w:rPr>
              <w:t>OLS linear</w:t>
            </w:r>
          </w:p>
        </w:tc>
        <w:tc>
          <w:tcPr>
            <w:tcW w:type="dxa" w:w="1814"/>
          </w:tcPr>
          <w:p>
            <w:pPr>
              <w:spacing w:before="20" w:after="20" w:line="240" w:lineRule="auto"/>
              <w:jc w:val="center"/>
            </w:pPr>
            <w:r/>
            <w:r>
              <w:rPr>
                <w:rFonts w:ascii="Arial" w:hAnsi="Arial" w:eastAsia="Arial" w:cs="Arial"/>
                <w:b w:val="0"/>
                <w:i w:val="0"/>
                <w:sz w:val="18"/>
              </w:rPr>
              <w:t>78,8</w:t>
            </w:r>
          </w:p>
        </w:tc>
        <w:tc>
          <w:tcPr>
            <w:tcW w:type="dxa" w:w="1814"/>
          </w:tcPr>
          <w:p>
            <w:pPr>
              <w:spacing w:before="20" w:after="20" w:line="240" w:lineRule="auto"/>
              <w:jc w:val="center"/>
            </w:pPr>
            <w:r/>
            <w:r>
              <w:rPr>
                <w:rFonts w:ascii="Arial" w:hAnsi="Arial" w:eastAsia="Arial" w:cs="Arial"/>
                <w:b w:val="0"/>
                <w:i w:val="0"/>
                <w:sz w:val="18"/>
              </w:rPr>
              <w:t>91,8</w:t>
            </w:r>
          </w:p>
        </w:tc>
        <w:tc>
          <w:tcPr>
            <w:tcW w:type="dxa" w:w="1814"/>
          </w:tcPr>
          <w:p>
            <w:pPr>
              <w:spacing w:before="20" w:after="20" w:line="240" w:lineRule="auto"/>
              <w:jc w:val="center"/>
            </w:pPr>
            <w:r/>
            <w:r>
              <w:rPr>
                <w:rFonts w:ascii="Arial" w:hAnsi="Arial" w:eastAsia="Arial" w:cs="Arial"/>
                <w:b w:val="0"/>
                <w:i w:val="0"/>
                <w:sz w:val="18"/>
              </w:rPr>
              <w:t>106,6</w:t>
            </w:r>
          </w:p>
        </w:tc>
        <w:tc>
          <w:tcPr>
            <w:tcW w:type="dxa" w:w="1814"/>
          </w:tcPr>
          <w:p>
            <w:pPr>
              <w:spacing w:before="20" w:after="20" w:line="240" w:lineRule="auto"/>
              <w:jc w:val="center"/>
            </w:pPr>
            <w:r/>
            <w:r>
              <w:rPr>
                <w:rFonts w:ascii="Arial" w:hAnsi="Arial" w:eastAsia="Arial" w:cs="Arial"/>
                <w:b w:val="0"/>
                <w:i w:val="0"/>
                <w:sz w:val="18"/>
              </w:rPr>
              <w:t>116,7</w:t>
            </w:r>
          </w:p>
        </w:tc>
      </w:tr>
      <w:tr>
        <w:tc>
          <w:tcPr>
            <w:tcW w:type="dxa" w:w="1814"/>
          </w:tcPr>
          <w:p>
            <w:pPr>
              <w:spacing w:before="20" w:after="20" w:line="240" w:lineRule="auto"/>
              <w:jc w:val="left"/>
            </w:pPr>
            <w:r/>
            <w:r>
              <w:rPr>
                <w:rFonts w:ascii="Arial" w:hAnsi="Arial" w:eastAsia="Arial" w:cs="Arial"/>
                <w:b w:val="0"/>
                <w:i w:val="0"/>
                <w:sz w:val="18"/>
              </w:rPr>
              <w:t>Theil-Sen</w:t>
            </w:r>
          </w:p>
        </w:tc>
        <w:tc>
          <w:tcPr>
            <w:tcW w:type="dxa" w:w="1814"/>
          </w:tcPr>
          <w:p>
            <w:pPr>
              <w:spacing w:before="20" w:after="20" w:line="240" w:lineRule="auto"/>
              <w:jc w:val="center"/>
            </w:pPr>
            <w:r/>
            <w:r>
              <w:rPr>
                <w:rFonts w:ascii="Arial" w:hAnsi="Arial" w:eastAsia="Arial" w:cs="Arial"/>
                <w:b w:val="0"/>
                <w:i w:val="0"/>
                <w:sz w:val="18"/>
              </w:rPr>
              <w:t>97,7</w:t>
            </w:r>
          </w:p>
        </w:tc>
        <w:tc>
          <w:tcPr>
            <w:tcW w:type="dxa" w:w="1814"/>
          </w:tcPr>
          <w:p>
            <w:pPr>
              <w:spacing w:before="20" w:after="20" w:line="240" w:lineRule="auto"/>
              <w:jc w:val="center"/>
            </w:pPr>
            <w:r/>
            <w:r>
              <w:rPr>
                <w:rFonts w:ascii="Arial" w:hAnsi="Arial" w:eastAsia="Arial" w:cs="Arial"/>
                <w:b w:val="0"/>
                <w:i w:val="0"/>
                <w:sz w:val="18"/>
              </w:rPr>
              <w:t>112,5</w:t>
            </w:r>
          </w:p>
        </w:tc>
        <w:tc>
          <w:tcPr>
            <w:tcW w:type="dxa" w:w="1814"/>
          </w:tcPr>
          <w:p>
            <w:pPr>
              <w:spacing w:before="20" w:after="20" w:line="240" w:lineRule="auto"/>
              <w:jc w:val="center"/>
            </w:pPr>
            <w:r/>
            <w:r>
              <w:rPr>
                <w:rFonts w:ascii="Arial" w:hAnsi="Arial" w:eastAsia="Arial" w:cs="Arial"/>
                <w:b w:val="0"/>
                <w:i w:val="0"/>
                <w:sz w:val="18"/>
              </w:rPr>
              <w:t>131,3</w:t>
            </w:r>
          </w:p>
        </w:tc>
        <w:tc>
          <w:tcPr>
            <w:tcW w:type="dxa" w:w="1814"/>
          </w:tcPr>
          <w:p>
            <w:pPr>
              <w:spacing w:before="20" w:after="20" w:line="240" w:lineRule="auto"/>
              <w:jc w:val="center"/>
            </w:pPr>
            <w:r/>
            <w:r>
              <w:rPr>
                <w:rFonts w:ascii="Arial" w:hAnsi="Arial" w:eastAsia="Arial" w:cs="Arial"/>
                <w:b w:val="0"/>
                <w:i w:val="0"/>
                <w:sz w:val="18"/>
              </w:rPr>
              <w:t>147,8</w:t>
            </w:r>
          </w:p>
        </w:tc>
      </w:tr>
      <w:tr>
        <w:tc>
          <w:tcPr>
            <w:tcW w:type="dxa" w:w="1814"/>
          </w:tcPr>
          <w:p>
            <w:pPr>
              <w:spacing w:before="20" w:after="20" w:line="240" w:lineRule="auto"/>
              <w:jc w:val="left"/>
            </w:pPr>
            <w:r/>
            <w:r>
              <w:rPr>
                <w:rFonts w:ascii="Arial" w:hAnsi="Arial" w:eastAsia="Arial" w:cs="Arial"/>
                <w:b w:val="0"/>
                <w:i w:val="0"/>
                <w:sz w:val="18"/>
              </w:rPr>
              <w:t>OLS quadrático</w:t>
            </w:r>
          </w:p>
        </w:tc>
        <w:tc>
          <w:tcPr>
            <w:tcW w:type="dxa" w:w="1814"/>
          </w:tcPr>
          <w:p>
            <w:pPr>
              <w:spacing w:before="20" w:after="20" w:line="240" w:lineRule="auto"/>
              <w:jc w:val="center"/>
            </w:pPr>
            <w:r/>
            <w:r>
              <w:rPr>
                <w:rFonts w:ascii="Arial" w:hAnsi="Arial" w:eastAsia="Arial" w:cs="Arial"/>
                <w:b w:val="0"/>
                <w:i w:val="0"/>
                <w:sz w:val="18"/>
              </w:rPr>
              <w:t>90,8</w:t>
            </w:r>
          </w:p>
        </w:tc>
        <w:tc>
          <w:tcPr>
            <w:tcW w:type="dxa" w:w="1814"/>
          </w:tcPr>
          <w:p>
            <w:pPr>
              <w:spacing w:before="20" w:after="20" w:line="240" w:lineRule="auto"/>
              <w:jc w:val="center"/>
            </w:pPr>
            <w:r/>
            <w:r>
              <w:rPr>
                <w:rFonts w:ascii="Arial" w:hAnsi="Arial" w:eastAsia="Arial" w:cs="Arial"/>
                <w:b w:val="0"/>
                <w:i w:val="0"/>
                <w:sz w:val="18"/>
              </w:rPr>
              <w:t>125,6</w:t>
            </w:r>
          </w:p>
        </w:tc>
        <w:tc>
          <w:tcPr>
            <w:tcW w:type="dxa" w:w="1814"/>
          </w:tcPr>
          <w:p>
            <w:pPr>
              <w:spacing w:before="20" w:after="20" w:line="240" w:lineRule="auto"/>
              <w:jc w:val="center"/>
            </w:pPr>
            <w:r/>
            <w:r>
              <w:rPr>
                <w:rFonts w:ascii="Arial" w:hAnsi="Arial" w:eastAsia="Arial" w:cs="Arial"/>
                <w:b w:val="0"/>
                <w:i w:val="0"/>
                <w:sz w:val="18"/>
              </w:rPr>
              <w:t>178,4</w:t>
            </w:r>
          </w:p>
        </w:tc>
        <w:tc>
          <w:tcPr>
            <w:tcW w:type="dxa" w:w="1814"/>
          </w:tcPr>
          <w:p>
            <w:pPr>
              <w:spacing w:before="20" w:after="20" w:line="240" w:lineRule="auto"/>
              <w:jc w:val="center"/>
            </w:pPr>
            <w:r/>
            <w:r>
              <w:rPr>
                <w:rFonts w:ascii="Arial" w:hAnsi="Arial" w:eastAsia="Arial" w:cs="Arial"/>
                <w:b w:val="0"/>
                <w:i w:val="0"/>
                <w:sz w:val="18"/>
              </w:rPr>
              <w:t>306,4</w:t>
            </w:r>
          </w:p>
        </w:tc>
      </w:tr>
      <w:tr>
        <w:tc>
          <w:tcPr>
            <w:tcW w:type="dxa" w:w="1814"/>
          </w:tcPr>
          <w:p>
            <w:pPr>
              <w:spacing w:before="20" w:after="20" w:line="240" w:lineRule="auto"/>
              <w:jc w:val="left"/>
            </w:pPr>
            <w:r/>
            <w:r>
              <w:rPr>
                <w:rFonts w:ascii="Arial" w:hAnsi="Arial" w:eastAsia="Arial" w:cs="Arial"/>
                <w:b w:val="0"/>
                <w:i w:val="0"/>
                <w:sz w:val="18"/>
              </w:rPr>
              <w:t>Rede neural (MLP)</w:t>
            </w:r>
          </w:p>
        </w:tc>
        <w:tc>
          <w:tcPr>
            <w:tcW w:type="dxa" w:w="1814"/>
          </w:tcPr>
          <w:p>
            <w:pPr>
              <w:spacing w:before="20" w:after="20" w:line="240" w:lineRule="auto"/>
              <w:jc w:val="center"/>
            </w:pPr>
            <w:r/>
            <w:r>
              <w:rPr>
                <w:rFonts w:ascii="Arial" w:hAnsi="Arial" w:eastAsia="Arial" w:cs="Arial"/>
                <w:b w:val="0"/>
                <w:i w:val="0"/>
                <w:sz w:val="18"/>
              </w:rPr>
              <w:t>218,6</w:t>
            </w:r>
          </w:p>
        </w:tc>
        <w:tc>
          <w:tcPr>
            <w:tcW w:type="dxa" w:w="1814"/>
          </w:tcPr>
          <w:p>
            <w:pPr>
              <w:spacing w:before="20" w:after="20" w:line="240" w:lineRule="auto"/>
              <w:jc w:val="center"/>
            </w:pPr>
            <w:r/>
            <w:r>
              <w:rPr>
                <w:rFonts w:ascii="Arial" w:hAnsi="Arial" w:eastAsia="Arial" w:cs="Arial"/>
                <w:b w:val="0"/>
                <w:i w:val="0"/>
                <w:sz w:val="18"/>
              </w:rPr>
              <w:t>581,9</w:t>
            </w:r>
          </w:p>
        </w:tc>
        <w:tc>
          <w:tcPr>
            <w:tcW w:type="dxa" w:w="1814"/>
          </w:tcPr>
          <w:p>
            <w:pPr>
              <w:spacing w:before="20" w:after="20" w:line="240" w:lineRule="auto"/>
              <w:jc w:val="center"/>
            </w:pPr>
            <w:r/>
            <w:r>
              <w:rPr>
                <w:rFonts w:ascii="Arial" w:hAnsi="Arial" w:eastAsia="Arial" w:cs="Arial"/>
                <w:b w:val="0"/>
                <w:i w:val="0"/>
                <w:sz w:val="18"/>
              </w:rPr>
              <w:t>1.043,9</w:t>
            </w:r>
          </w:p>
        </w:tc>
        <w:tc>
          <w:tcPr>
            <w:tcW w:type="dxa" w:w="1814"/>
          </w:tcPr>
          <w:p>
            <w:pPr>
              <w:spacing w:before="20" w:after="20" w:line="240" w:lineRule="auto"/>
              <w:jc w:val="center"/>
            </w:pPr>
            <w:r/>
            <w:r>
              <w:rPr>
                <w:rFonts w:ascii="Arial" w:hAnsi="Arial" w:eastAsia="Arial" w:cs="Arial"/>
                <w:b w:val="0"/>
                <w:i w:val="0"/>
                <w:sz w:val="18"/>
              </w:rPr>
              <w:t>1.918,6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teste foi replicado nas duas estações brasileiras de registro longo,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 um processo gaussiano — supera essa linha de base trivial em apenas 3%. Em Cananéia, apenas dois são piores e o melhor, o estimador de Theil-Sen, supera em 65% (39,6 mm contra 113,8 mm).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nenhum aprende.</w:t>
      </w:r>
    </w:p>
    <w:p>
      <w:pPr>
        <w:spacing w:before="0" w:after="120" w:line="360" w:lineRule="auto"/>
        <w:ind w:firstLine="709"/>
        <w:jc w:val="both"/>
      </w:pPr>
      <w:r>
        <w:rPr>
          <w:rFonts w:ascii="Arial" w:hAnsi="Arial" w:eastAsia="Arial" w:cs="Arial"/>
          <w:b w:val="0"/>
          <w:i w:val="0"/>
          <w:sz w:val="24"/>
        </w:rPr>
        <w:t>O ponto decisivo é qual das duas séries é fisicamente válida, e a resposta está na Tabela 3: o orçamento fecha na Ilha Fiscal e é rejeitado em Cananéia. A tendência forte e facilmente aprendível de Cananéia é exatamente a que a física rejeita, por conter 3,3 mm/ano que processo conhecido algum explica. Um procedimento de seleção guiado apenas por desempenho de validação cruzada preferiria Cananéia e produziria projeções confiantes, bem validadas e erradas. Desempenho de validação não é evidência de que se está aprendendo a grandeza certa. Note-se ainda que, mesmo em Cananéia, os vencedores são os dois estimadores mais simples, Theil-Sen e mínimos quadrados, enquanto os modelos de aprendizado de máquina permanecem agrupados junto à persistência.</w:t>
      </w:r>
    </w:p>
    <w:p>
      <w:pPr>
        <w:spacing w:before="0" w:after="120" w:line="360" w:lineRule="auto"/>
        <w:ind w:firstLine="709"/>
        <w:jc w:val="both"/>
      </w:pPr>
      <w:r>
        <w:rPr>
          <w:rFonts w:ascii="Arial" w:hAnsi="Arial" w:eastAsia="Arial" w:cs="Arial"/>
          <w:b w:val="0"/>
          <w:i w:val="0"/>
          <w:sz w:val="24"/>
        </w:rPr>
        <w:t>O segundo teste, sobre a série global de contribuição das calotas, mostra o contraste: ali os algoritmos superam amplamente a linha de base trivial (3,6 mm contra 25,5 mm no horizonte de 20 anos). A previsibilidade existe no sinal global forçado, não no registro local.</w:t>
      </w:r>
    </w:p>
    <w:p>
      <w:pPr>
        <w:spacing w:before="0" w:after="120" w:line="360" w:lineRule="auto"/>
        <w:ind w:firstLine="709"/>
        <w:jc w:val="both"/>
      </w:pPr>
      <w:r>
        <w:rPr>
          <w:rFonts w:ascii="Arial" w:hAnsi="Arial" w:eastAsia="Arial" w:cs="Arial"/>
          <w:b w:val="0"/>
          <w:i w:val="0"/>
          <w:sz w:val="24"/>
        </w:rPr>
        <w:t xml:space="preserve">O painel (b) da Figura 4 expõe o problema estrutural. Quando se pede a cada algoritmo, treinado com a série completa, a contribuição das calotas em 2100, </w:t>
      </w:r>
      <w:r>
        <w:rPr>
          <w:rFonts w:ascii="Arial" w:hAnsi="Arial" w:eastAsia="Arial" w:cs="Arial"/>
          <w:b/>
          <w:i w:val="0"/>
          <w:sz w:val="24"/>
        </w:rPr>
        <w:t>seis dos quinze respondem exatamente o mesmo valor de 2018</w:t>
      </w:r>
      <w:r>
        <w:rPr>
          <w:rFonts w:ascii="Arial" w:hAnsi="Arial" w:eastAsia="Arial" w:cs="Arial"/>
          <w:b w:val="0"/>
          <w:i w:val="0"/>
          <w:sz w:val="24"/>
        </w:rPr>
        <w:t xml:space="preserve">. Modelos baseados em árvores de decisão e em vizinhança produzem previsões como médias de valores de treino e, portanto, não podem gerar valor algum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que apresente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4.5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da forma da curva no tempo para a relação entre temperatura e resposta. A validação V3 é o teste decisivo: o emulador foi calibrado </w:t>
      </w:r>
      <w:r>
        <w:rPr>
          <w:rFonts w:ascii="Arial" w:hAnsi="Arial" w:eastAsia="Arial" w:cs="Arial"/>
          <w:b/>
          <w:i w:val="0"/>
          <w:sz w:val="24"/>
        </w:rPr>
        <w:t>somente</w:t>
      </w:r>
      <w:r>
        <w:rPr>
          <w:rFonts w:ascii="Arial" w:hAnsi="Arial" w:eastAsia="Arial" w:cs="Arial"/>
          <w:b w:val="0"/>
          <w:i w:val="0"/>
          <w:sz w:val="24"/>
        </w:rPr>
        <w:t xml:space="preserve"> com 1900–1989, período em que a perda de massa era pequena, e solicitado a prever 1990–2018, quando acelerou. A Figura 5 e a Tabela 5 apresentam o resultado.</w:t>
      </w:r>
    </w:p>
    <w:p>
      <w:pPr>
        <w:spacing w:before="240" w:after="60" w:line="240" w:lineRule="auto"/>
        <w:ind w:firstLine="0"/>
        <w:jc w:val="left"/>
      </w:pPr>
      <w:r>
        <w:rPr>
          <w:rFonts w:ascii="Arial" w:hAnsi="Arial" w:eastAsia="Arial" w:cs="Arial"/>
          <w:b/>
          <w:i w:val="0"/>
          <w:sz w:val="20"/>
        </w:rPr>
        <w:t xml:space="preserve">Tabela 5 – </w:t>
      </w:r>
      <w:r>
        <w:rPr>
          <w:rFonts w:ascii="Arial" w:hAnsi="Arial" w:eastAsia="Arial" w:cs="Arial"/>
          <w:b w:val="0"/>
          <w:i w:val="0"/>
          <w:sz w:val="20"/>
        </w:rPr>
        <w:t>Validações V3 e V4 do emulador.</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Componente</w:t>
            </w:r>
          </w:p>
        </w:tc>
        <w:tc>
          <w:tcPr>
            <w:tcW w:type="dxa" w:w="1512"/>
            <w:shd w:val="clear" w:color="auto" w:fill="EFEFEC"/>
          </w:tcPr>
          <w:p>
            <w:pPr>
              <w:spacing w:before="20" w:after="20" w:line="240" w:lineRule="auto"/>
              <w:jc w:val="center"/>
            </w:pPr>
            <w:r/>
            <w:r>
              <w:rPr>
                <w:rFonts w:ascii="Arial" w:hAnsi="Arial" w:eastAsia="Arial" w:cs="Arial"/>
                <w:b/>
                <w:i w:val="0"/>
                <w:sz w:val="18"/>
              </w:rPr>
              <w:t>V3: RMSE (mm)</w:t>
            </w:r>
          </w:p>
        </w:tc>
        <w:tc>
          <w:tcPr>
            <w:tcW w:type="dxa" w:w="1512"/>
            <w:shd w:val="clear" w:color="auto" w:fill="EFEFEC"/>
          </w:tcPr>
          <w:p>
            <w:pPr>
              <w:spacing w:before="20" w:after="20" w:line="240" w:lineRule="auto"/>
              <w:jc w:val="center"/>
            </w:pPr>
            <w:r/>
            <w:r>
              <w:rPr>
                <w:rFonts w:ascii="Arial" w:hAnsi="Arial" w:eastAsia="Arial" w:cs="Arial"/>
                <w:b/>
                <w:i w:val="0"/>
                <w:sz w:val="18"/>
              </w:rPr>
              <w:t>V3: erro na taxa</w:t>
            </w:r>
          </w:p>
        </w:tc>
        <w:tc>
          <w:tcPr>
            <w:tcW w:type="dxa" w:w="1512"/>
            <w:shd w:val="clear" w:color="auto" w:fill="EFEFEC"/>
          </w:tcPr>
          <w:p>
            <w:pPr>
              <w:spacing w:before="20" w:after="20" w:line="240" w:lineRule="auto"/>
              <w:jc w:val="center"/>
            </w:pPr>
            <w:r/>
            <w:r>
              <w:rPr>
                <w:rFonts w:ascii="Arial" w:hAnsi="Arial" w:eastAsia="Arial" w:cs="Arial"/>
                <w:b/>
                <w:i w:val="0"/>
                <w:sz w:val="18"/>
              </w:rPr>
              <w:t>V4: taxa IMBIE</w:t>
            </w:r>
          </w:p>
        </w:tc>
        <w:tc>
          <w:tcPr>
            <w:tcW w:type="dxa" w:w="1512"/>
            <w:shd w:val="clear" w:color="auto" w:fill="EFEFEC"/>
          </w:tcPr>
          <w:p>
            <w:pPr>
              <w:spacing w:before="20" w:after="20" w:line="240" w:lineRule="auto"/>
              <w:jc w:val="center"/>
            </w:pPr>
            <w:r/>
            <w:r>
              <w:rPr>
                <w:rFonts w:ascii="Arial" w:hAnsi="Arial" w:eastAsia="Arial" w:cs="Arial"/>
                <w:b/>
                <w:i w:val="0"/>
                <w:sz w:val="18"/>
              </w:rPr>
              <w:t>V4: taxa emulador</w:t>
            </w:r>
          </w:p>
        </w:tc>
        <w:tc>
          <w:tcPr>
            <w:tcW w:type="dxa" w:w="1512"/>
            <w:shd w:val="clear" w:color="auto" w:fill="EFEFEC"/>
          </w:tcPr>
          <w:p>
            <w:pPr>
              <w:spacing w:before="20" w:after="20" w:line="240" w:lineRule="auto"/>
              <w:jc w:val="center"/>
            </w:pPr>
            <w:r/>
            <w:r>
              <w:rPr>
                <w:rFonts w:ascii="Arial" w:hAnsi="Arial" w:eastAsia="Arial" w:cs="Arial"/>
                <w:b/>
                <w:i w:val="0"/>
                <w:sz w:val="18"/>
              </w:rPr>
              <w:t>V4: diferença</w:t>
            </w:r>
          </w:p>
        </w:tc>
      </w:tr>
      <w:tr>
        <w:tc>
          <w:tcPr>
            <w:tcW w:type="dxa" w:w="1512"/>
          </w:tcPr>
          <w:p>
            <w:pPr>
              <w:spacing w:before="20" w:after="20" w:line="240" w:lineRule="auto"/>
              <w:jc w:val="left"/>
            </w:pPr>
            <w:r/>
            <w:r>
              <w:rPr>
                <w:rFonts w:ascii="Arial" w:hAnsi="Arial" w:eastAsia="Arial" w:cs="Arial"/>
                <w:b w:val="0"/>
                <w:i w:val="0"/>
                <w:sz w:val="18"/>
              </w:rPr>
              <w:t>Groenlândia</w:t>
            </w:r>
          </w:p>
        </w:tc>
        <w:tc>
          <w:tcPr>
            <w:tcW w:type="dxa" w:w="1512"/>
          </w:tcPr>
          <w:p>
            <w:pPr>
              <w:spacing w:before="20" w:after="20" w:line="240" w:lineRule="auto"/>
              <w:jc w:val="center"/>
            </w:pPr>
            <w:r/>
            <w:r>
              <w:rPr>
                <w:rFonts w:ascii="Arial" w:hAnsi="Arial" w:eastAsia="Arial" w:cs="Arial"/>
                <w:b w:val="0"/>
                <w:i w:val="0"/>
                <w:sz w:val="18"/>
              </w:rPr>
              <w:t>3,67</w:t>
            </w:r>
          </w:p>
        </w:tc>
        <w:tc>
          <w:tcPr>
            <w:tcW w:type="dxa" w:w="1512"/>
          </w:tcPr>
          <w:p>
            <w:pPr>
              <w:spacing w:before="20" w:after="20" w:line="240" w:lineRule="auto"/>
              <w:jc w:val="center"/>
            </w:pPr>
            <w:r/>
            <w:r>
              <w:rPr>
                <w:rFonts w:ascii="Arial" w:hAnsi="Arial" w:eastAsia="Arial" w:cs="Arial"/>
                <w:b w:val="0"/>
                <w:i w:val="0"/>
                <w:sz w:val="18"/>
              </w:rPr>
              <w:t>+5,0%</w:t>
            </w:r>
          </w:p>
        </w:tc>
        <w:tc>
          <w:tcPr>
            <w:tcW w:type="dxa" w:w="1512"/>
          </w:tcPr>
          <w:p>
            <w:pPr>
              <w:spacing w:before="20" w:after="20" w:line="240" w:lineRule="auto"/>
              <w:jc w:val="center"/>
            </w:pPr>
            <w:r/>
            <w:r>
              <w:rPr>
                <w:rFonts w:ascii="Arial" w:hAnsi="Arial" w:eastAsia="Arial" w:cs="Arial"/>
                <w:b w:val="0"/>
                <w:i w:val="0"/>
                <w:sz w:val="18"/>
              </w:rPr>
              <w:t>+0,469 mm/ano</w:t>
            </w:r>
          </w:p>
        </w:tc>
        <w:tc>
          <w:tcPr>
            <w:tcW w:type="dxa" w:w="1512"/>
          </w:tcPr>
          <w:p>
            <w:pPr>
              <w:spacing w:before="20" w:after="20" w:line="240" w:lineRule="auto"/>
              <w:jc w:val="center"/>
            </w:pPr>
            <w:r/>
            <w:r>
              <w:rPr>
                <w:rFonts w:ascii="Arial" w:hAnsi="Arial" w:eastAsia="Arial" w:cs="Arial"/>
                <w:b w:val="0"/>
                <w:i w:val="0"/>
                <w:sz w:val="18"/>
              </w:rPr>
              <w:t>+0,513 mm/ano</w:t>
            </w:r>
          </w:p>
        </w:tc>
        <w:tc>
          <w:tcPr>
            <w:tcW w:type="dxa" w:w="1512"/>
          </w:tcPr>
          <w:p>
            <w:pPr>
              <w:spacing w:before="20" w:after="20" w:line="240" w:lineRule="auto"/>
              <w:jc w:val="center"/>
            </w:pPr>
            <w:r/>
            <w:r>
              <w:rPr>
                <w:rFonts w:ascii="Arial" w:hAnsi="Arial" w:eastAsia="Arial" w:cs="Arial"/>
                <w:b w:val="0"/>
                <w:i w:val="0"/>
                <w:sz w:val="18"/>
              </w:rPr>
              <w:t>+9,5%</w:t>
            </w:r>
          </w:p>
        </w:tc>
      </w:tr>
      <w:tr>
        <w:tc>
          <w:tcPr>
            <w:tcW w:type="dxa" w:w="1512"/>
          </w:tcPr>
          <w:p>
            <w:pPr>
              <w:spacing w:before="20" w:after="20" w:line="240" w:lineRule="auto"/>
              <w:jc w:val="left"/>
            </w:pPr>
            <w:r/>
            <w:r>
              <w:rPr>
                <w:rFonts w:ascii="Arial" w:hAnsi="Arial" w:eastAsia="Arial" w:cs="Arial"/>
                <w:b w:val="0"/>
                <w:i w:val="0"/>
                <w:sz w:val="18"/>
              </w:rPr>
              <w:t>Antártica</w:t>
            </w:r>
          </w:p>
        </w:tc>
        <w:tc>
          <w:tcPr>
            <w:tcW w:type="dxa" w:w="1512"/>
          </w:tcPr>
          <w:p>
            <w:pPr>
              <w:spacing w:before="20" w:after="20" w:line="240" w:lineRule="auto"/>
              <w:jc w:val="center"/>
            </w:pPr>
            <w:r/>
            <w:r>
              <w:rPr>
                <w:rFonts w:ascii="Arial" w:hAnsi="Arial" w:eastAsia="Arial" w:cs="Arial"/>
                <w:b w:val="0"/>
                <w:i w:val="0"/>
                <w:sz w:val="18"/>
              </w:rPr>
              <w:t>2,85</w:t>
            </w:r>
          </w:p>
        </w:tc>
        <w:tc>
          <w:tcPr>
            <w:tcW w:type="dxa" w:w="1512"/>
          </w:tcPr>
          <w:p>
            <w:pPr>
              <w:spacing w:before="20" w:after="20" w:line="240" w:lineRule="auto"/>
              <w:jc w:val="center"/>
            </w:pPr>
            <w:r/>
            <w:r>
              <w:rPr>
                <w:rFonts w:ascii="Arial" w:hAnsi="Arial" w:eastAsia="Arial" w:cs="Arial"/>
                <w:b w:val="0"/>
                <w:i w:val="0"/>
                <w:sz w:val="18"/>
              </w:rPr>
              <w:t>−77,7%</w:t>
            </w:r>
          </w:p>
        </w:tc>
        <w:tc>
          <w:tcPr>
            <w:tcW w:type="dxa" w:w="1512"/>
          </w:tcPr>
          <w:p>
            <w:pPr>
              <w:spacing w:before="20" w:after="20" w:line="240" w:lineRule="auto"/>
              <w:jc w:val="center"/>
            </w:pPr>
            <w:r/>
            <w:r>
              <w:rPr>
                <w:rFonts w:ascii="Arial" w:hAnsi="Arial" w:eastAsia="Arial" w:cs="Arial"/>
                <w:b w:val="0"/>
                <w:i w:val="0"/>
                <w:sz w:val="18"/>
              </w:rPr>
              <w:t>+0,239 mm/ano</w:t>
            </w:r>
          </w:p>
        </w:tc>
        <w:tc>
          <w:tcPr>
            <w:tcW w:type="dxa" w:w="1512"/>
          </w:tcPr>
          <w:p>
            <w:pPr>
              <w:spacing w:before="20" w:after="20" w:line="240" w:lineRule="auto"/>
              <w:jc w:val="center"/>
            </w:pPr>
            <w:r/>
            <w:r>
              <w:rPr>
                <w:rFonts w:ascii="Arial" w:hAnsi="Arial" w:eastAsia="Arial" w:cs="Arial"/>
                <w:b w:val="0"/>
                <w:i w:val="0"/>
                <w:sz w:val="18"/>
              </w:rPr>
              <w:t>+0,199 mm/ano</w:t>
            </w:r>
          </w:p>
        </w:tc>
        <w:tc>
          <w:tcPr>
            <w:tcW w:type="dxa" w:w="1512"/>
          </w:tcPr>
          <w:p>
            <w:pPr>
              <w:spacing w:before="20" w:after="20" w:line="240" w:lineRule="auto"/>
              <w:jc w:val="center"/>
            </w:pPr>
            <w:r/>
            <w:r>
              <w:rPr>
                <w:rFonts w:ascii="Arial" w:hAnsi="Arial" w:eastAsia="Arial" w:cs="Arial"/>
                <w:b w:val="0"/>
                <w:i w:val="0"/>
                <w:sz w:val="18"/>
              </w:rPr>
              <w:t>−16,9%</w:t>
            </w:r>
          </w:p>
        </w:tc>
      </w:tr>
      <w:tr>
        <w:tc>
          <w:tcPr>
            <w:tcW w:type="dxa" w:w="1512"/>
          </w:tcPr>
          <w:p>
            <w:pPr>
              <w:spacing w:before="20" w:after="20" w:line="240" w:lineRule="auto"/>
              <w:jc w:val="left"/>
            </w:pPr>
            <w:r/>
            <w:r>
              <w:rPr>
                <w:rFonts w:ascii="Arial" w:hAnsi="Arial" w:eastAsia="Arial" w:cs="Arial"/>
                <w:b w:val="0"/>
                <w:i w:val="0"/>
                <w:sz w:val="18"/>
              </w:rPr>
              <w:t>Geleiras</w:t>
            </w:r>
          </w:p>
        </w:tc>
        <w:tc>
          <w:tcPr>
            <w:tcW w:type="dxa" w:w="1512"/>
          </w:tcPr>
          <w:p>
            <w:pPr>
              <w:spacing w:before="20" w:after="20" w:line="240" w:lineRule="auto"/>
              <w:jc w:val="center"/>
            </w:pPr>
            <w:r/>
            <w:r>
              <w:rPr>
                <w:rFonts w:ascii="Arial" w:hAnsi="Arial" w:eastAsia="Arial" w:cs="Arial"/>
                <w:b w:val="0"/>
                <w:i w:val="0"/>
                <w:sz w:val="18"/>
              </w:rPr>
              <w:t>4,57</w:t>
            </w:r>
          </w:p>
        </w:tc>
        <w:tc>
          <w:tcPr>
            <w:tcW w:type="dxa" w:w="1512"/>
          </w:tcPr>
          <w:p>
            <w:pPr>
              <w:spacing w:before="20" w:after="20" w:line="240" w:lineRule="auto"/>
              <w:jc w:val="center"/>
            </w:pPr>
            <w:r/>
            <w:r>
              <w:rPr>
                <w:rFonts w:ascii="Arial" w:hAnsi="Arial" w:eastAsia="Arial" w:cs="Arial"/>
                <w:b w:val="0"/>
                <w:i w:val="0"/>
                <w:sz w:val="18"/>
              </w:rPr>
              <w:t>+41,5%</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r>
        <w:tc>
          <w:tcPr>
            <w:tcW w:type="dxa" w:w="1512"/>
          </w:tcPr>
          <w:p>
            <w:pPr>
              <w:spacing w:before="20" w:after="20" w:line="240" w:lineRule="auto"/>
              <w:jc w:val="left"/>
            </w:pPr>
            <w:r/>
            <w:r>
              <w:rPr>
                <w:rFonts w:ascii="Arial" w:hAnsi="Arial" w:eastAsia="Arial" w:cs="Arial"/>
                <w:b w:val="0"/>
                <w:i w:val="0"/>
                <w:sz w:val="18"/>
              </w:rPr>
              <w:t>Expansão térmica</w:t>
            </w:r>
          </w:p>
        </w:tc>
        <w:tc>
          <w:tcPr>
            <w:tcW w:type="dxa" w:w="1512"/>
          </w:tcPr>
          <w:p>
            <w:pPr>
              <w:spacing w:before="20" w:after="20" w:line="240" w:lineRule="auto"/>
              <w:jc w:val="center"/>
            </w:pPr>
            <w:r/>
            <w:r>
              <w:rPr>
                <w:rFonts w:ascii="Arial" w:hAnsi="Arial" w:eastAsia="Arial" w:cs="Arial"/>
                <w:b w:val="0"/>
                <w:i w:val="0"/>
                <w:sz w:val="18"/>
              </w:rPr>
              <w:t>2,56</w:t>
            </w:r>
          </w:p>
        </w:tc>
        <w:tc>
          <w:tcPr>
            <w:tcW w:type="dxa" w:w="1512"/>
          </w:tcPr>
          <w:p>
            <w:pPr>
              <w:spacing w:before="20" w:after="20" w:line="240" w:lineRule="auto"/>
              <w:jc w:val="center"/>
            </w:pPr>
            <w:r/>
            <w:r>
              <w:rPr>
                <w:rFonts w:ascii="Arial" w:hAnsi="Arial" w:eastAsia="Arial" w:cs="Arial"/>
                <w:b w:val="0"/>
                <w:i w:val="0"/>
                <w:sz w:val="18"/>
              </w:rPr>
              <w:t>+10,4%</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emulador, sem jamais ter visto o período de aceleração, reproduz a taxa de perda da Groenlândia de 1990–2018 com erro de 5,0% e a taxa de expansão térmica com erro de 10,4%, superando neste último caso a melhor extrapolação polinomial por fator de dois. Subestima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ainda, por usar conjunto inteiramente independente: o emulador, calibrado sobre a reconstrução de Frederikse et al. (2020), reproduz as taxas medidas por satélite pelo consórcio IMBIE, com metodologia e equipe diferentes, com erro de +9,5% para a Groenlândia e −16,9% para a Antártica.</w:t>
      </w:r>
    </w:p>
    <w:p>
      <w:pPr>
        <w:spacing w:before="200" w:after="80"/>
        <w:jc w:val="center"/>
      </w:pPr>
      <w:r>
        <w:drawing>
          <wp:inline xmlns:a="http://schemas.openxmlformats.org/drawingml/2006/main" xmlns:pic="http://schemas.openxmlformats.org/drawingml/2006/picture">
            <wp:extent cx="5760000" cy="2445436"/>
            <wp:docPr id="5" name="Picture 5"/>
            <wp:cNvGraphicFramePr>
              <a:graphicFrameLocks noChangeAspect="1"/>
            </wp:cNvGraphicFramePr>
            <a:graphic>
              <a:graphicData uri="http://schemas.openxmlformats.org/drawingml/2006/picture">
                <pic:pic>
                  <pic:nvPicPr>
                    <pic:cNvPr id="0" name="Figura_05_validacao_emulador.png"/>
                    <pic:cNvPicPr/>
                  </pic:nvPicPr>
                  <pic:blipFill>
                    <a:blip r:embed="rId13"/>
                    <a:stretch>
                      <a:fillRect/>
                    </a:stretch>
                  </pic:blipFill>
                  <pic:spPr>
                    <a:xfrm>
                      <a:off x="0" y="0"/>
                      <a:ext cx="5760000" cy="2445436"/>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Validação V3: emulador calibrado apenas com 1900–1989 e solicitado a prever 1990–2018, comparado à extrapolação linear ajustada na mesma janela.</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A sensibilidade das calotas não é estacionária</w:t>
      </w:r>
    </w:p>
    <w:p>
      <w:pPr>
        <w:spacing w:before="0" w:after="120" w:line="360" w:lineRule="auto"/>
        <w:ind w:firstLine="0"/>
        <w:jc w:val="both"/>
      </w:pPr>
      <w:r>
        <w:rPr>
          <w:rFonts w:ascii="Arial" w:hAnsi="Arial" w:eastAsia="Arial" w:cs="Arial"/>
          <w:b w:val="0"/>
          <w:i w:val="0"/>
          <w:sz w:val="24"/>
        </w:rPr>
        <w:t xml:space="preserve">A análise de estabilidade dos parâmetros revelou que o coeficiente de sensibilidade da Groenlândia varia 72,9% conforme o ano de corte da calibração. Em vez de tratar essa instabilidade como ruído, mediu-se diretamente a sensibilidade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w:t>
      </w:r>
      <w:r>
        <w:rPr>
          <w:rFonts w:ascii="Arial" w:hAnsi="Arial" w:eastAsia="Arial" w:cs="Arial"/>
          <w:b w:val="0"/>
          <w:i w:val="0"/>
          <w:sz w:val="24"/>
        </w:rPr>
        <w:t xml:space="preserve"> (1σ), contra 0,132 mm/ano por kelvin no ajuste centenário — razão pontual de 7,3. Essa razão é bem menos precisa do que o valor pontual sugere, por duas causas independentes. A incerteza do numerador é propagada das incertezas do IMBIE tratadas como integralmente correlacionadas dentro de cada época de cinco anos, critério conservador que deixa a própria sensibilidade de satélite a 1,92σ de zero; sob a hipótese alternativa de erros independentes nos cinco anos de cada época, ela estaria a 4,3σ. E o denominador não é constante: o bootstrap do ajuste centenário devolve intervalo de 95% de 0,123 a 0,431 mm/ano por kelvin para esse coeficiente, porque o parâmetro de limiar T₀ do ajuste da Groenlândia converge para o extremo do intervalo admitido (seção 4.10), e a estimativa pontual de 0,132 situa-se no percentil 23 da própria distribuição de reamostragem. Propagando as duas incertezas por Monte Carlo, a razão tem mediana de 5,0 e intervalo de 95% de 0 a 13,6, com probabilidade de 93% de exceder a unidade. O que os dados sustentam é aumento provável de magnitude mal determinada, e não um fator preciso de 7,3.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(FOX-KEMPER et al., 2021) fornece sensibilidade implícita de 0,663 mm/ano por kelvin para a Groenlândia, abaixo do valor central observado no período de satélite. A diferença, de +0,302 mm/ano por kelvin, equivale a 0,60σ da incerteza do valor observado (p = 0,55): as duas estimativas são estatisticamente compatíveis, e o dado disponível </w:t>
      </w:r>
      <w:r>
        <w:rPr>
          <w:rFonts w:ascii="Arial" w:hAnsi="Arial" w:eastAsia="Arial" w:cs="Arial"/>
          <w:b/>
          <w:i w:val="0"/>
          <w:sz w:val="24"/>
        </w:rPr>
        <w:t>não</w:t>
      </w:r>
      <w:r>
        <w:rPr>
          <w:rFonts w:ascii="Arial" w:hAnsi="Arial" w:eastAsia="Arial" w:cs="Arial"/>
          <w:b w:val="0"/>
          <w:i w:val="0"/>
          <w:sz w:val="24"/>
        </w:rPr>
        <w:t xml:space="preserve"> autoriza afirmar que as projeções oficiais subestimem a sensibilidade da Groenlândia. Autoriza a afirmação recíproca, que já é informativa: a sensibilidade medida por satélite não é menor que a embutida no AR6, de modo que a magnitude das projeções oficiais é compatível com a resposta observada.</w:t>
      </w:r>
    </w:p>
    <w:p>
      <w:pPr>
        <w:spacing w:before="0" w:after="120" w:line="360" w:lineRule="auto"/>
        <w:ind w:firstLine="709"/>
        <w:jc w:val="both"/>
      </w:pPr>
      <w:r>
        <w:rPr>
          <w:rFonts w:ascii="Arial" w:hAnsi="Arial" w:eastAsia="Arial" w:cs="Arial"/>
          <w:b w:val="0"/>
          <w:i w:val="0"/>
          <w:sz w:val="24"/>
        </w:rPr>
        <w:t xml:space="preserve">Esse achado reposiciona as três vias de projeção. A via A, calibrada em 119 anos, dilui numa média centenária uma sensibilidade que provavelmente cresceu, e fornece portanto um limite inferior — leitura reforçada pelo fato de o limiar T₀ convergir para o extremo do intervalo admitido nesse ajuste, o que amortece a aceleração projetada (seção 4.10). A via A′, que usa a sensibilidade medida no próprio período de satélite, produz 359, 460 e 635 mm em 2100 nos cenários SSP1-2.6, SSP2-4.5 e SSP5-8.5 — valores que se situam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Esse é um resultado próprio da pesquisa: a magnitude das projeções processuais internacionais é sustentada, de forma independente, pela sensibilidade observada nas medições de satélite das calotas.</w:t>
      </w:r>
    </w:p>
    <w:p>
      <w:pPr>
        <w:spacing w:before="200" w:after="80"/>
        <w:jc w:val="center"/>
      </w:pPr>
      <w:r>
        <w:drawing>
          <wp:inline xmlns:a="http://schemas.openxmlformats.org/drawingml/2006/main" xmlns:pic="http://schemas.openxmlformats.org/drawingml/2006/picture">
            <wp:extent cx="5760000" cy="2771932"/>
            <wp:docPr id="6" name="Picture 6"/>
            <wp:cNvGraphicFramePr>
              <a:graphicFrameLocks noChangeAspect="1"/>
            </wp:cNvGraphicFramePr>
            <a:graphic>
              <a:graphicData uri="http://schemas.openxmlformats.org/drawingml/2006/picture">
                <pic:pic>
                  <pic:nvPicPr>
                    <pic:cNvPr id="0" name="Figura_06_sensibilidade_projecoes.png"/>
                    <pic:cNvPicPr/>
                  </pic:nvPicPr>
                  <pic:blipFill>
                    <a:blip r:embed="rId14"/>
                    <a:stretch>
                      <a:fillRect/>
                    </a:stretch>
                  </pic:blipFill>
                  <pic:spPr>
                    <a:xfrm>
                      <a:off x="0" y="0"/>
                      <a:ext cx="5760000" cy="2771932"/>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Sensibilidade das calotas ao aquecimento medida em três épocas; (b) projeção da elevação média global em 2100 nas três vias.</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4.7 Projeções para o litoral brasileiro</w:t>
      </w:r>
    </w:p>
    <w:p>
      <w:pPr>
        <w:spacing w:before="0" w:after="120" w:line="360" w:lineRule="auto"/>
        <w:ind w:firstLine="709"/>
        <w:jc w:val="both"/>
      </w:pPr>
      <w:r>
        <w:rPr>
          <w:rFonts w:ascii="Arial" w:hAnsi="Arial" w:eastAsia="Arial" w:cs="Arial"/>
          <w:b w:val="0"/>
          <w:i w:val="0"/>
          <w:sz w:val="24"/>
        </w:rPr>
        <w:t>A Tabela 6 e a Figura 7 apresentam as projeções de nível relativo do mar nos onze pontos analisados.</w:t>
      </w:r>
    </w:p>
    <w:p>
      <w:pPr>
        <w:spacing w:before="240" w:after="60" w:line="240" w:lineRule="auto"/>
        <w:ind w:firstLine="0"/>
        <w:jc w:val="left"/>
      </w:pPr>
      <w:r>
        <w:rPr>
          <w:rFonts w:ascii="Arial" w:hAnsi="Arial" w:eastAsia="Arial" w:cs="Arial"/>
          <w:b/>
          <w:i w:val="0"/>
          <w:sz w:val="20"/>
        </w:rPr>
        <w:t xml:space="preserve">Tabela 6 – </w:t>
      </w:r>
      <w:r>
        <w:rPr>
          <w:rFonts w:ascii="Arial" w:hAnsi="Arial" w:eastAsia="Arial" w:cs="Arial"/>
          <w:b w:val="0"/>
          <w:i w:val="0"/>
          <w:sz w:val="20"/>
        </w:rPr>
        <w:t>Elevação projetada do nível relativo do mar e parcela das calotas polares (cenário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Latitude</w:t>
            </w:r>
          </w:p>
        </w:tc>
        <w:tc>
          <w:tcPr>
            <w:tcW w:type="dxa" w:w="1512"/>
            <w:shd w:val="clear" w:color="auto" w:fill="EFEFEC"/>
          </w:tcPr>
          <w:p>
            <w:pPr>
              <w:spacing w:before="20" w:after="20" w:line="240" w:lineRule="auto"/>
              <w:jc w:val="center"/>
            </w:pPr>
            <w:r/>
            <w:r>
              <w:rPr>
                <w:rFonts w:ascii="Arial" w:hAnsi="Arial" w:eastAsia="Arial" w:cs="Arial"/>
                <w:b/>
                <w:i w:val="0"/>
                <w:sz w:val="18"/>
              </w:rPr>
              <w:t>2050 (mm)</w:t>
            </w:r>
          </w:p>
        </w:tc>
        <w:tc>
          <w:tcPr>
            <w:tcW w:type="dxa" w:w="1512"/>
            <w:shd w:val="clear" w:color="auto" w:fill="EFEFEC"/>
          </w:tcPr>
          <w:p>
            <w:pPr>
              <w:spacing w:before="20" w:after="20" w:line="240" w:lineRule="auto"/>
              <w:jc w:val="center"/>
            </w:pPr>
            <w:r/>
            <w:r>
              <w:rPr>
                <w:rFonts w:ascii="Arial" w:hAnsi="Arial" w:eastAsia="Arial" w:cs="Arial"/>
                <w:b/>
                <w:i w:val="0"/>
                <w:sz w:val="18"/>
              </w:rPr>
              <w:t>2100 (mm)</w:t>
            </w:r>
          </w:p>
        </w:tc>
        <w:tc>
          <w:tcPr>
            <w:tcW w:type="dxa" w:w="1512"/>
            <w:shd w:val="clear" w:color="auto" w:fill="EFEFEC"/>
          </w:tcPr>
          <w:p>
            <w:pPr>
              <w:spacing w:before="20" w:after="20" w:line="240" w:lineRule="auto"/>
              <w:jc w:val="center"/>
            </w:pPr>
            <w:r/>
            <w:r>
              <w:rPr>
                <w:rFonts w:ascii="Arial" w:hAnsi="Arial" w:eastAsia="Arial" w:cs="Arial"/>
                <w:b/>
                <w:i w:val="0"/>
                <w:sz w:val="18"/>
              </w:rPr>
              <w:t>Calotas em 2100 (mm)</w:t>
            </w:r>
          </w:p>
        </w:tc>
        <w:tc>
          <w:tcPr>
            <w:tcW w:type="dxa" w:w="1512"/>
            <w:shd w:val="clear" w:color="auto" w:fill="EFEFEC"/>
          </w:tcPr>
          <w:p>
            <w:pPr>
              <w:spacing w:before="20" w:after="20" w:line="240" w:lineRule="auto"/>
              <w:jc w:val="center"/>
            </w:pPr>
            <w:r/>
            <w:r>
              <w:rPr>
                <w:rFonts w:ascii="Arial" w:hAnsi="Arial" w:eastAsia="Arial" w:cs="Arial"/>
                <w:b/>
                <w:i w:val="0"/>
                <w:sz w:val="18"/>
              </w:rPr>
              <w:t>Parcela</w:t>
            </w:r>
          </w:p>
        </w:tc>
      </w:tr>
      <w:tr>
        <w:tc>
          <w:tcPr>
            <w:tcW w:type="dxa" w:w="1512"/>
          </w:tcPr>
          <w:p>
            <w:pPr>
              <w:spacing w:before="20" w:after="20" w:line="240" w:lineRule="auto"/>
              <w:jc w:val="left"/>
            </w:pPr>
            <w:r/>
            <w:r>
              <w:rPr>
                <w:rFonts w:ascii="Arial" w:hAnsi="Arial" w:eastAsia="Arial" w:cs="Arial"/>
                <w:b w:val="0"/>
                <w:i w:val="0"/>
                <w:sz w:val="18"/>
              </w:rPr>
              <w:t>Santana (AP)</w:t>
            </w:r>
          </w:p>
        </w:tc>
        <w:tc>
          <w:tcPr>
            <w:tcW w:type="dxa" w:w="1512"/>
          </w:tcPr>
          <w:p>
            <w:pPr>
              <w:spacing w:before="20" w:after="20" w:line="240" w:lineRule="auto"/>
              <w:jc w:val="center"/>
            </w:pPr>
            <w:r/>
            <w:r>
              <w:rPr>
                <w:rFonts w:ascii="Arial" w:hAnsi="Arial" w:eastAsia="Arial" w:cs="Arial"/>
                <w:b w:val="0"/>
                <w:i w:val="0"/>
                <w:sz w:val="18"/>
              </w:rPr>
              <w:t>−0,1°</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536</w:t>
            </w:r>
          </w:p>
        </w:tc>
        <w:tc>
          <w:tcPr>
            <w:tcW w:type="dxa" w:w="1512"/>
          </w:tcPr>
          <w:p>
            <w:pPr>
              <w:spacing w:before="20" w:after="20" w:line="240" w:lineRule="auto"/>
              <w:jc w:val="center"/>
            </w:pPr>
            <w:r/>
            <w:r>
              <w:rPr>
                <w:rFonts w:ascii="Arial" w:hAnsi="Arial" w:eastAsia="Arial" w:cs="Arial"/>
                <w:b w:val="0"/>
                <w:i w:val="0"/>
                <w:sz w:val="18"/>
              </w:rPr>
              <w:t>193</w:t>
            </w:r>
          </w:p>
        </w:tc>
        <w:tc>
          <w:tcPr>
            <w:tcW w:type="dxa" w:w="1512"/>
          </w:tcPr>
          <w:p>
            <w:pPr>
              <w:spacing w:before="20" w:after="20" w:line="240" w:lineRule="auto"/>
              <w:jc w:val="center"/>
            </w:pPr>
            <w:r/>
            <w:r>
              <w:rPr>
                <w:rFonts w:ascii="Arial" w:hAnsi="Arial" w:eastAsia="Arial" w:cs="Arial"/>
                <w:b w:val="0"/>
                <w:i w:val="0"/>
                <w:sz w:val="18"/>
              </w:rPr>
              <w:t>36,1%</w:t>
            </w:r>
          </w:p>
        </w:tc>
      </w:tr>
      <w:tr>
        <w:tc>
          <w:tcPr>
            <w:tcW w:type="dxa" w:w="1512"/>
          </w:tcPr>
          <w:p>
            <w:pPr>
              <w:spacing w:before="20" w:after="20" w:line="240" w:lineRule="auto"/>
              <w:jc w:val="left"/>
            </w:pPr>
            <w:r/>
            <w:r>
              <w:rPr>
                <w:rFonts w:ascii="Arial" w:hAnsi="Arial" w:eastAsia="Arial" w:cs="Arial"/>
                <w:b w:val="0"/>
                <w:i w:val="0"/>
                <w:sz w:val="18"/>
              </w:rPr>
              <w:t>Belém (PA)</w:t>
            </w:r>
          </w:p>
        </w:tc>
        <w:tc>
          <w:tcPr>
            <w:tcW w:type="dxa" w:w="1512"/>
          </w:tcPr>
          <w:p>
            <w:pPr>
              <w:spacing w:before="20" w:after="20" w:line="240" w:lineRule="auto"/>
              <w:jc w:val="center"/>
            </w:pPr>
            <w:r/>
            <w:r>
              <w:rPr>
                <w:rFonts w:ascii="Arial" w:hAnsi="Arial" w:eastAsia="Arial" w:cs="Arial"/>
                <w:b w:val="0"/>
                <w:i w:val="0"/>
                <w:sz w:val="18"/>
              </w:rPr>
              <w:t>−1,4°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640</w:t>
            </w:r>
          </w:p>
        </w:tc>
        <w:tc>
          <w:tcPr>
            <w:tcW w:type="dxa" w:w="1512"/>
          </w:tcPr>
          <w:p>
            <w:pPr>
              <w:spacing w:before="20" w:after="20" w:line="240" w:lineRule="auto"/>
              <w:jc w:val="center"/>
            </w:pPr>
            <w:r/>
            <w:r>
              <w:rPr>
                <w:rFonts w:ascii="Arial" w:hAnsi="Arial" w:eastAsia="Arial" w:cs="Arial"/>
                <w:b w:val="0"/>
                <w:i w:val="0"/>
                <w:sz w:val="18"/>
              </w:rPr>
              <w:t>194</w:t>
            </w:r>
          </w:p>
        </w:tc>
        <w:tc>
          <w:tcPr>
            <w:tcW w:type="dxa" w:w="1512"/>
          </w:tcPr>
          <w:p>
            <w:pPr>
              <w:spacing w:before="20" w:after="20" w:line="240" w:lineRule="auto"/>
              <w:jc w:val="center"/>
            </w:pPr>
            <w:r/>
            <w:r>
              <w:rPr>
                <w:rFonts w:ascii="Arial" w:hAnsi="Arial" w:eastAsia="Arial" w:cs="Arial"/>
                <w:b w:val="0"/>
                <w:i w:val="0"/>
                <w:sz w:val="18"/>
              </w:rPr>
              <w:t>30,3%</w:t>
            </w:r>
          </w:p>
        </w:tc>
      </w:tr>
      <w:tr>
        <w:tc>
          <w:tcPr>
            <w:tcW w:type="dxa" w:w="1512"/>
          </w:tcPr>
          <w:p>
            <w:pPr>
              <w:spacing w:before="20" w:after="20" w:line="240" w:lineRule="auto"/>
              <w:jc w:val="left"/>
            </w:pPr>
            <w:r/>
            <w:r>
              <w:rPr>
                <w:rFonts w:ascii="Arial" w:hAnsi="Arial" w:eastAsia="Arial" w:cs="Arial"/>
                <w:b w:val="0"/>
                <w:i w:val="0"/>
                <w:sz w:val="18"/>
              </w:rPr>
              <w:t>Ponta da Madeira (MA)</w:t>
            </w:r>
          </w:p>
        </w:tc>
        <w:tc>
          <w:tcPr>
            <w:tcW w:type="dxa" w:w="1512"/>
          </w:tcPr>
          <w:p>
            <w:pPr>
              <w:spacing w:before="20" w:after="20" w:line="240" w:lineRule="auto"/>
              <w:jc w:val="center"/>
            </w:pPr>
            <w:r/>
            <w:r>
              <w:rPr>
                <w:rFonts w:ascii="Arial" w:hAnsi="Arial" w:eastAsia="Arial" w:cs="Arial"/>
                <w:b w:val="0"/>
                <w:i w:val="0"/>
                <w:sz w:val="18"/>
              </w:rPr>
              <w:t>−2,6°</w:t>
            </w:r>
          </w:p>
        </w:tc>
        <w:tc>
          <w:tcPr>
            <w:tcW w:type="dxa" w:w="1512"/>
          </w:tcPr>
          <w:p>
            <w:pPr>
              <w:spacing w:before="20" w:after="20" w:line="240" w:lineRule="auto"/>
              <w:jc w:val="center"/>
            </w:pPr>
            <w:r/>
            <w:r>
              <w:rPr>
                <w:rFonts w:ascii="Arial" w:hAnsi="Arial" w:eastAsia="Arial" w:cs="Arial"/>
                <w:b w:val="0"/>
                <w:i w:val="0"/>
                <w:sz w:val="18"/>
              </w:rPr>
              <w:t>175</w:t>
            </w:r>
          </w:p>
        </w:tc>
        <w:tc>
          <w:tcPr>
            <w:tcW w:type="dxa" w:w="1512"/>
          </w:tcPr>
          <w:p>
            <w:pPr>
              <w:spacing w:before="20" w:after="20" w:line="240" w:lineRule="auto"/>
              <w:jc w:val="center"/>
            </w:pPr>
            <w:r/>
            <w:r>
              <w:rPr>
                <w:rFonts w:ascii="Arial" w:hAnsi="Arial" w:eastAsia="Arial" w:cs="Arial"/>
                <w:b w:val="0"/>
                <w:i w:val="0"/>
                <w:sz w:val="18"/>
              </w:rPr>
              <w:t>564</w:t>
            </w:r>
          </w:p>
        </w:tc>
        <w:tc>
          <w:tcPr>
            <w:tcW w:type="dxa" w:w="1512"/>
          </w:tcPr>
          <w:p>
            <w:pPr>
              <w:spacing w:before="20" w:after="20" w:line="240" w:lineRule="auto"/>
              <w:jc w:val="center"/>
            </w:pPr>
            <w:r/>
            <w:r>
              <w:rPr>
                <w:rFonts w:ascii="Arial" w:hAnsi="Arial" w:eastAsia="Arial" w:cs="Arial"/>
                <w:b w:val="0"/>
                <w:i w:val="0"/>
                <w:sz w:val="18"/>
              </w:rPr>
              <w:t>196</w:t>
            </w:r>
          </w:p>
        </w:tc>
        <w:tc>
          <w:tcPr>
            <w:tcW w:type="dxa" w:w="1512"/>
          </w:tcPr>
          <w:p>
            <w:pPr>
              <w:spacing w:before="20" w:after="20" w:line="240" w:lineRule="auto"/>
              <w:jc w:val="center"/>
            </w:pPr>
            <w:r/>
            <w:r>
              <w:rPr>
                <w:rFonts w:ascii="Arial" w:hAnsi="Arial" w:eastAsia="Arial" w:cs="Arial"/>
                <w:b w:val="0"/>
                <w:i w:val="0"/>
                <w:sz w:val="18"/>
              </w:rPr>
              <w:t>34,8%</w:t>
            </w:r>
          </w:p>
        </w:tc>
      </w:tr>
      <w:tr>
        <w:tc>
          <w:tcPr>
            <w:tcW w:type="dxa" w:w="1512"/>
          </w:tcPr>
          <w:p>
            <w:pPr>
              <w:spacing w:before="20" w:after="20" w:line="240" w:lineRule="auto"/>
              <w:jc w:val="left"/>
            </w:pPr>
            <w:r/>
            <w:r>
              <w:rPr>
                <w:rFonts w:ascii="Arial" w:hAnsi="Arial" w:eastAsia="Arial" w:cs="Arial"/>
                <w:b w:val="0"/>
                <w:i w:val="0"/>
                <w:sz w:val="18"/>
              </w:rPr>
              <w:t>Fortaleza (CE)</w:t>
            </w:r>
          </w:p>
        </w:tc>
        <w:tc>
          <w:tcPr>
            <w:tcW w:type="dxa" w:w="1512"/>
          </w:tcPr>
          <w:p>
            <w:pPr>
              <w:spacing w:before="20" w:after="20" w:line="240" w:lineRule="auto"/>
              <w:jc w:val="center"/>
            </w:pPr>
            <w:r/>
            <w:r>
              <w:rPr>
                <w:rFonts w:ascii="Arial" w:hAnsi="Arial" w:eastAsia="Arial" w:cs="Arial"/>
                <w:b w:val="0"/>
                <w:i w:val="0"/>
                <w:sz w:val="18"/>
              </w:rPr>
              <w:t>−3,7°</w:t>
            </w:r>
          </w:p>
        </w:tc>
        <w:tc>
          <w:tcPr>
            <w:tcW w:type="dxa" w:w="1512"/>
          </w:tcPr>
          <w:p>
            <w:pPr>
              <w:spacing w:before="20" w:after="20" w:line="240" w:lineRule="auto"/>
              <w:jc w:val="center"/>
            </w:pPr>
            <w:r/>
            <w:r>
              <w:rPr>
                <w:rFonts w:ascii="Arial" w:hAnsi="Arial" w:eastAsia="Arial" w:cs="Arial"/>
                <w:b w:val="0"/>
                <w:i w:val="0"/>
                <w:sz w:val="18"/>
              </w:rPr>
              <w:t>171</w:t>
            </w:r>
          </w:p>
        </w:tc>
        <w:tc>
          <w:tcPr>
            <w:tcW w:type="dxa" w:w="1512"/>
          </w:tcPr>
          <w:p>
            <w:pPr>
              <w:spacing w:before="20" w:after="20" w:line="240" w:lineRule="auto"/>
              <w:jc w:val="center"/>
            </w:pPr>
            <w:r/>
            <w:r>
              <w:rPr>
                <w:rFonts w:ascii="Arial" w:hAnsi="Arial" w:eastAsia="Arial" w:cs="Arial"/>
                <w:b w:val="0"/>
                <w:i w:val="0"/>
                <w:sz w:val="18"/>
              </w:rPr>
              <w:t>554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36,5%</w:t>
            </w:r>
          </w:p>
        </w:tc>
      </w:tr>
      <w:tr>
        <w:tc>
          <w:tcPr>
            <w:tcW w:type="dxa" w:w="1512"/>
          </w:tcPr>
          <w:p>
            <w:pPr>
              <w:spacing w:before="20" w:after="20" w:line="240" w:lineRule="auto"/>
              <w:jc w:val="left"/>
            </w:pPr>
            <w:r/>
            <w:r>
              <w:rPr>
                <w:rFonts w:ascii="Arial" w:hAnsi="Arial" w:eastAsia="Arial" w:cs="Arial"/>
                <w:b w:val="0"/>
                <w:i w:val="0"/>
                <w:sz w:val="18"/>
              </w:rPr>
              <w:t>Recife (PE)</w:t>
            </w:r>
          </w:p>
        </w:tc>
        <w:tc>
          <w:tcPr>
            <w:tcW w:type="dxa" w:w="1512"/>
          </w:tcPr>
          <w:p>
            <w:pPr>
              <w:spacing w:before="20" w:after="20" w:line="240" w:lineRule="auto"/>
              <w:jc w:val="center"/>
            </w:pPr>
            <w:r/>
            <w:r>
              <w:rPr>
                <w:rFonts w:ascii="Arial" w:hAnsi="Arial" w:eastAsia="Arial" w:cs="Arial"/>
                <w:b w:val="0"/>
                <w:i w:val="0"/>
                <w:sz w:val="18"/>
              </w:rPr>
              <w:t>−8,1°</w:t>
            </w:r>
          </w:p>
        </w:tc>
        <w:tc>
          <w:tcPr>
            <w:tcW w:type="dxa" w:w="1512"/>
          </w:tcPr>
          <w:p>
            <w:pPr>
              <w:spacing w:before="20" w:after="20" w:line="240" w:lineRule="auto"/>
              <w:jc w:val="center"/>
            </w:pPr>
            <w:r/>
            <w:r>
              <w:rPr>
                <w:rFonts w:ascii="Arial" w:hAnsi="Arial" w:eastAsia="Arial" w:cs="Arial"/>
                <w:b w:val="0"/>
                <w:i w:val="0"/>
                <w:sz w:val="18"/>
              </w:rPr>
              <w:t>260</w:t>
            </w:r>
          </w:p>
        </w:tc>
        <w:tc>
          <w:tcPr>
            <w:tcW w:type="dxa" w:w="1512"/>
          </w:tcPr>
          <w:p>
            <w:pPr>
              <w:spacing w:before="20" w:after="20" w:line="240" w:lineRule="auto"/>
              <w:jc w:val="center"/>
            </w:pPr>
            <w:r/>
            <w:r>
              <w:rPr>
                <w:rFonts w:ascii="Arial" w:hAnsi="Arial" w:eastAsia="Arial" w:cs="Arial"/>
                <w:b w:val="0"/>
                <w:i w:val="0"/>
                <w:sz w:val="18"/>
              </w:rPr>
              <w:t>794</w:t>
            </w:r>
          </w:p>
        </w:tc>
        <w:tc>
          <w:tcPr>
            <w:tcW w:type="dxa" w:w="1512"/>
          </w:tcPr>
          <w:p>
            <w:pPr>
              <w:spacing w:before="20" w:after="20" w:line="240" w:lineRule="auto"/>
              <w:jc w:val="center"/>
            </w:pPr>
            <w:r/>
            <w:r>
              <w:rPr>
                <w:rFonts w:ascii="Arial" w:hAnsi="Arial" w:eastAsia="Arial" w:cs="Arial"/>
                <w:b w:val="0"/>
                <w:i w:val="0"/>
                <w:sz w:val="18"/>
              </w:rPr>
              <w:t>206</w:t>
            </w:r>
          </w:p>
        </w:tc>
        <w:tc>
          <w:tcPr>
            <w:tcW w:type="dxa" w:w="1512"/>
          </w:tcPr>
          <w:p>
            <w:pPr>
              <w:spacing w:before="20" w:after="20" w:line="240" w:lineRule="auto"/>
              <w:jc w:val="center"/>
            </w:pPr>
            <w:r/>
            <w:r>
              <w:rPr>
                <w:rFonts w:ascii="Arial" w:hAnsi="Arial" w:eastAsia="Arial" w:cs="Arial"/>
                <w:b w:val="0"/>
                <w:i w:val="0"/>
                <w:sz w:val="18"/>
              </w:rPr>
              <w:t>25,9%</w:t>
            </w:r>
          </w:p>
        </w:tc>
      </w:tr>
      <w:tr>
        <w:tc>
          <w:tcPr>
            <w:tcW w:type="dxa" w:w="1512"/>
          </w:tcPr>
          <w:p>
            <w:pPr>
              <w:spacing w:before="20" w:after="20" w:line="240" w:lineRule="auto"/>
              <w:jc w:val="left"/>
            </w:pPr>
            <w:r/>
            <w:r>
              <w:rPr>
                <w:rFonts w:ascii="Arial" w:hAnsi="Arial" w:eastAsia="Arial" w:cs="Arial"/>
                <w:b w:val="0"/>
                <w:i w:val="0"/>
                <w:sz w:val="18"/>
              </w:rPr>
              <w:t>Salvador (BA)</w:t>
            </w:r>
          </w:p>
        </w:tc>
        <w:tc>
          <w:tcPr>
            <w:tcW w:type="dxa" w:w="1512"/>
          </w:tcPr>
          <w:p>
            <w:pPr>
              <w:spacing w:before="20" w:after="20" w:line="240" w:lineRule="auto"/>
              <w:jc w:val="center"/>
            </w:pPr>
            <w:r/>
            <w:r>
              <w:rPr>
                <w:rFonts w:ascii="Arial" w:hAnsi="Arial" w:eastAsia="Arial" w:cs="Arial"/>
                <w:b w:val="0"/>
                <w:i w:val="0"/>
                <w:sz w:val="18"/>
              </w:rPr>
              <w:t>−13,0°</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509</w:t>
            </w:r>
          </w:p>
        </w:tc>
        <w:tc>
          <w:tcPr>
            <w:tcW w:type="dxa" w:w="1512"/>
          </w:tcPr>
          <w:p>
            <w:pPr>
              <w:spacing w:before="20" w:after="20" w:line="240" w:lineRule="auto"/>
              <w:jc w:val="center"/>
            </w:pPr>
            <w:r/>
            <w:r>
              <w:rPr>
                <w:rFonts w:ascii="Arial" w:hAnsi="Arial" w:eastAsia="Arial" w:cs="Arial"/>
                <w:b w:val="0"/>
                <w:i w:val="0"/>
                <w:sz w:val="18"/>
              </w:rPr>
              <w:t>201</w:t>
            </w:r>
          </w:p>
        </w:tc>
        <w:tc>
          <w:tcPr>
            <w:tcW w:type="dxa" w:w="1512"/>
          </w:tcPr>
          <w:p>
            <w:pPr>
              <w:spacing w:before="20" w:after="20" w:line="240" w:lineRule="auto"/>
              <w:jc w:val="center"/>
            </w:pPr>
            <w:r/>
            <w:r>
              <w:rPr>
                <w:rFonts w:ascii="Arial" w:hAnsi="Arial" w:eastAsia="Arial" w:cs="Arial"/>
                <w:b w:val="0"/>
                <w:i w:val="0"/>
                <w:sz w:val="18"/>
              </w:rPr>
              <w:t>39,5%</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−22,9°</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505</w:t>
            </w:r>
          </w:p>
        </w:tc>
        <w:tc>
          <w:tcPr>
            <w:tcW w:type="dxa" w:w="1512"/>
          </w:tcPr>
          <w:p>
            <w:pPr>
              <w:spacing w:before="20" w:after="20" w:line="240" w:lineRule="auto"/>
              <w:jc w:val="center"/>
            </w:pPr>
            <w:r/>
            <w:r>
              <w:rPr>
                <w:rFonts w:ascii="Arial" w:hAnsi="Arial" w:eastAsia="Arial" w:cs="Arial"/>
                <w:b w:val="0"/>
                <w:i w:val="0"/>
                <w:sz w:val="18"/>
              </w:rPr>
              <w:t>197</w:t>
            </w:r>
          </w:p>
        </w:tc>
        <w:tc>
          <w:tcPr>
            <w:tcW w:type="dxa" w:w="1512"/>
          </w:tcPr>
          <w:p>
            <w:pPr>
              <w:spacing w:before="20" w:after="20" w:line="240" w:lineRule="auto"/>
              <w:jc w:val="center"/>
            </w:pPr>
            <w:r/>
            <w:r>
              <w:rPr>
                <w:rFonts w:ascii="Arial" w:hAnsi="Arial" w:eastAsia="Arial" w:cs="Arial"/>
                <w:b w:val="0"/>
                <w:i w:val="0"/>
                <w:sz w:val="18"/>
              </w:rPr>
              <w:t>39,0%</w:t>
            </w:r>
          </w:p>
        </w:tc>
      </w:tr>
      <w:tr>
        <w:tc>
          <w:tcPr>
            <w:tcW w:type="dxa" w:w="1512"/>
          </w:tcPr>
          <w:p>
            <w:pPr>
              <w:spacing w:before="20" w:after="20" w:line="240" w:lineRule="auto"/>
              <w:jc w:val="left"/>
            </w:pPr>
            <w:r/>
            <w:r>
              <w:rPr>
                <w:rFonts w:ascii="Arial" w:hAnsi="Arial" w:eastAsia="Arial" w:cs="Arial"/>
                <w:b w:val="0"/>
                <w:i w:val="0"/>
                <w:sz w:val="18"/>
              </w:rPr>
              <w:t>Santos (SP)</w:t>
            </w:r>
          </w:p>
        </w:tc>
        <w:tc>
          <w:tcPr>
            <w:tcW w:type="dxa" w:w="1512"/>
          </w:tcPr>
          <w:p>
            <w:pPr>
              <w:spacing w:before="20" w:after="20" w:line="240" w:lineRule="auto"/>
              <w:jc w:val="center"/>
            </w:pPr>
            <w:r/>
            <w:r>
              <w:rPr>
                <w:rFonts w:ascii="Arial" w:hAnsi="Arial" w:eastAsia="Arial" w:cs="Arial"/>
                <w:b w:val="0"/>
                <w:i w:val="0"/>
                <w:sz w:val="18"/>
              </w:rPr>
              <w:t>−24,0°</w:t>
            </w:r>
          </w:p>
        </w:tc>
        <w:tc>
          <w:tcPr>
            <w:tcW w:type="dxa" w:w="1512"/>
          </w:tcPr>
          <w:p>
            <w:pPr>
              <w:spacing w:before="20" w:after="20" w:line="240" w:lineRule="auto"/>
              <w:jc w:val="center"/>
            </w:pPr>
            <w:r/>
            <w:r>
              <w:rPr>
                <w:rFonts w:ascii="Arial" w:hAnsi="Arial" w:eastAsia="Arial" w:cs="Arial"/>
                <w:b w:val="0"/>
                <w:i w:val="0"/>
                <w:sz w:val="18"/>
              </w:rPr>
              <w:t>138</w:t>
            </w:r>
          </w:p>
        </w:tc>
        <w:tc>
          <w:tcPr>
            <w:tcW w:type="dxa" w:w="1512"/>
          </w:tcPr>
          <w:p>
            <w:pPr>
              <w:spacing w:before="20" w:after="20" w:line="240" w:lineRule="auto"/>
              <w:jc w:val="center"/>
            </w:pPr>
            <w:r/>
            <w:r>
              <w:rPr>
                <w:rFonts w:ascii="Arial" w:hAnsi="Arial" w:eastAsia="Arial" w:cs="Arial"/>
                <w:b w:val="0"/>
                <w:i w:val="0"/>
                <w:sz w:val="18"/>
              </w:rPr>
              <w:t>458</w:t>
            </w:r>
          </w:p>
        </w:tc>
        <w:tc>
          <w:tcPr>
            <w:tcW w:type="dxa" w:w="1512"/>
          </w:tcPr>
          <w:p>
            <w:pPr>
              <w:spacing w:before="20" w:after="20" w:line="240" w:lineRule="auto"/>
              <w:jc w:val="center"/>
            </w:pPr>
            <w:r/>
            <w:r>
              <w:rPr>
                <w:rFonts w:ascii="Arial" w:hAnsi="Arial" w:eastAsia="Arial" w:cs="Arial"/>
                <w:b w:val="0"/>
                <w:i w:val="0"/>
                <w:sz w:val="18"/>
              </w:rPr>
              <w:t>192</w:t>
            </w:r>
          </w:p>
        </w:tc>
        <w:tc>
          <w:tcPr>
            <w:tcW w:type="dxa" w:w="1512"/>
          </w:tcPr>
          <w:p>
            <w:pPr>
              <w:spacing w:before="20" w:after="20" w:line="240" w:lineRule="auto"/>
              <w:jc w:val="center"/>
            </w:pPr>
            <w:r/>
            <w:r>
              <w:rPr>
                <w:rFonts w:ascii="Arial" w:hAnsi="Arial" w:eastAsia="Arial" w:cs="Arial"/>
                <w:b w:val="0"/>
                <w:i w:val="0"/>
                <w:sz w:val="18"/>
              </w:rPr>
              <w:t>42,0%</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−25,0°</w:t>
            </w:r>
          </w:p>
        </w:tc>
        <w:tc>
          <w:tcPr>
            <w:tcW w:type="dxa" w:w="1512"/>
          </w:tcPr>
          <w:p>
            <w:pPr>
              <w:spacing w:before="20" w:after="20" w:line="240" w:lineRule="auto"/>
              <w:jc w:val="center"/>
            </w:pPr>
            <w:r/>
            <w:r>
              <w:rPr>
                <w:rFonts w:ascii="Arial" w:hAnsi="Arial" w:eastAsia="Arial" w:cs="Arial"/>
                <w:b w:val="0"/>
                <w:i w:val="0"/>
                <w:sz w:val="18"/>
              </w:rPr>
              <w:t>154</w:t>
            </w:r>
          </w:p>
        </w:tc>
        <w:tc>
          <w:tcPr>
            <w:tcW w:type="dxa" w:w="1512"/>
          </w:tcPr>
          <w:p>
            <w:pPr>
              <w:spacing w:before="20" w:after="20" w:line="240" w:lineRule="auto"/>
              <w:jc w:val="center"/>
            </w:pPr>
            <w:r/>
            <w:r>
              <w:rPr>
                <w:rFonts w:ascii="Arial" w:hAnsi="Arial" w:eastAsia="Arial" w:cs="Arial"/>
                <w:b w:val="0"/>
                <w:i w:val="0"/>
                <w:sz w:val="18"/>
              </w:rPr>
              <w:t>500</w:t>
            </w:r>
          </w:p>
        </w:tc>
        <w:tc>
          <w:tcPr>
            <w:tcW w:type="dxa" w:w="1512"/>
          </w:tcPr>
          <w:p>
            <w:pPr>
              <w:spacing w:before="20" w:after="20" w:line="240" w:lineRule="auto"/>
              <w:jc w:val="center"/>
            </w:pPr>
            <w:r/>
            <w:r>
              <w:rPr>
                <w:rFonts w:ascii="Arial" w:hAnsi="Arial" w:eastAsia="Arial" w:cs="Arial"/>
                <w:b w:val="0"/>
                <w:i w:val="0"/>
                <w:sz w:val="18"/>
              </w:rPr>
              <w:t>190</w:t>
            </w:r>
          </w:p>
        </w:tc>
        <w:tc>
          <w:tcPr>
            <w:tcW w:type="dxa" w:w="1512"/>
          </w:tcPr>
          <w:p>
            <w:pPr>
              <w:spacing w:before="20" w:after="20" w:line="240" w:lineRule="auto"/>
              <w:jc w:val="center"/>
            </w:pPr>
            <w:r/>
            <w:r>
              <w:rPr>
                <w:rFonts w:ascii="Arial" w:hAnsi="Arial" w:eastAsia="Arial" w:cs="Arial"/>
                <w:b w:val="0"/>
                <w:i w:val="0"/>
                <w:sz w:val="18"/>
              </w:rPr>
              <w:t>38,0%</w:t>
            </w:r>
          </w:p>
        </w:tc>
      </w:tr>
      <w:tr>
        <w:tc>
          <w:tcPr>
            <w:tcW w:type="dxa" w:w="1512"/>
          </w:tcPr>
          <w:p>
            <w:pPr>
              <w:spacing w:before="20" w:after="20" w:line="240" w:lineRule="auto"/>
              <w:jc w:val="left"/>
            </w:pPr>
            <w:r/>
            <w:r>
              <w:rPr>
                <w:rFonts w:ascii="Arial" w:hAnsi="Arial" w:eastAsia="Arial" w:cs="Arial"/>
                <w:b w:val="0"/>
                <w:i w:val="0"/>
                <w:sz w:val="18"/>
              </w:rPr>
              <w:t>Imbituba (SC)</w:t>
            </w:r>
          </w:p>
        </w:tc>
        <w:tc>
          <w:tcPr>
            <w:tcW w:type="dxa" w:w="1512"/>
          </w:tcPr>
          <w:p>
            <w:pPr>
              <w:spacing w:before="20" w:after="20" w:line="240" w:lineRule="auto"/>
              <w:jc w:val="center"/>
            </w:pPr>
            <w:r/>
            <w:r>
              <w:rPr>
                <w:rFonts w:ascii="Arial" w:hAnsi="Arial" w:eastAsia="Arial" w:cs="Arial"/>
                <w:b w:val="0"/>
                <w:i w:val="0"/>
                <w:sz w:val="18"/>
              </w:rPr>
              <w:t>−28,2°</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529</w:t>
            </w:r>
          </w:p>
        </w:tc>
        <w:tc>
          <w:tcPr>
            <w:tcW w:type="dxa" w:w="1512"/>
          </w:tcPr>
          <w:p>
            <w:pPr>
              <w:spacing w:before="20" w:after="20" w:line="240" w:lineRule="auto"/>
              <w:jc w:val="center"/>
            </w:pPr>
            <w:r/>
            <w:r>
              <w:rPr>
                <w:rFonts w:ascii="Arial" w:hAnsi="Arial" w:eastAsia="Arial" w:cs="Arial"/>
                <w:b w:val="0"/>
                <w:i w:val="0"/>
                <w:sz w:val="18"/>
              </w:rPr>
              <w:t>189</w:t>
            </w:r>
          </w:p>
        </w:tc>
        <w:tc>
          <w:tcPr>
            <w:tcW w:type="dxa" w:w="1512"/>
          </w:tcPr>
          <w:p>
            <w:pPr>
              <w:spacing w:before="20" w:after="20" w:line="240" w:lineRule="auto"/>
              <w:jc w:val="center"/>
            </w:pPr>
            <w:r/>
            <w:r>
              <w:rPr>
                <w:rFonts w:ascii="Arial" w:hAnsi="Arial" w:eastAsia="Arial" w:cs="Arial"/>
                <w:b w:val="0"/>
                <w:i w:val="0"/>
                <w:sz w:val="18"/>
              </w:rPr>
              <w:t>35,7%</w:t>
            </w:r>
          </w:p>
        </w:tc>
      </w:tr>
      <w:tr>
        <w:tc>
          <w:tcPr>
            <w:tcW w:type="dxa" w:w="1512"/>
          </w:tcPr>
          <w:p>
            <w:pPr>
              <w:spacing w:before="20" w:after="20" w:line="240" w:lineRule="auto"/>
              <w:jc w:val="left"/>
            </w:pPr>
            <w:r/>
            <w:r>
              <w:rPr>
                <w:rFonts w:ascii="Arial" w:hAnsi="Arial" w:eastAsia="Arial" w:cs="Arial"/>
                <w:b w:val="0"/>
                <w:i w:val="0"/>
                <w:sz w:val="18"/>
              </w:rPr>
              <w:t>Rio Grande (RS)</w:t>
            </w:r>
          </w:p>
        </w:tc>
        <w:tc>
          <w:tcPr>
            <w:tcW w:type="dxa" w:w="1512"/>
          </w:tcPr>
          <w:p>
            <w:pPr>
              <w:spacing w:before="20" w:after="20" w:line="240" w:lineRule="auto"/>
              <w:jc w:val="center"/>
            </w:pPr>
            <w:r/>
            <w:r>
              <w:rPr>
                <w:rFonts w:ascii="Arial" w:hAnsi="Arial" w:eastAsia="Arial" w:cs="Arial"/>
                <w:b w:val="0"/>
                <w:i w:val="0"/>
                <w:sz w:val="18"/>
              </w:rPr>
              <w:t>−32,1°</w:t>
            </w:r>
          </w:p>
        </w:tc>
        <w:tc>
          <w:tcPr>
            <w:tcW w:type="dxa" w:w="1512"/>
          </w:tcPr>
          <w:p>
            <w:pPr>
              <w:spacing w:before="20" w:after="20" w:line="240" w:lineRule="auto"/>
              <w:jc w:val="center"/>
            </w:pPr>
            <w:r/>
            <w:r>
              <w:rPr>
                <w:rFonts w:ascii="Arial" w:hAnsi="Arial" w:eastAsia="Arial" w:cs="Arial"/>
                <w:b w:val="0"/>
                <w:i w:val="0"/>
                <w:sz w:val="18"/>
              </w:rPr>
              <w:t>119</w:t>
            </w:r>
          </w:p>
        </w:tc>
        <w:tc>
          <w:tcPr>
            <w:tcW w:type="dxa" w:w="1512"/>
          </w:tcPr>
          <w:p>
            <w:pPr>
              <w:spacing w:before="20" w:after="20" w:line="240" w:lineRule="auto"/>
              <w:jc w:val="center"/>
            </w:pPr>
            <w:r/>
            <w:r>
              <w:rPr>
                <w:rFonts w:ascii="Arial" w:hAnsi="Arial" w:eastAsia="Arial" w:cs="Arial"/>
                <w:b w:val="0"/>
                <w:i w:val="0"/>
                <w:sz w:val="18"/>
              </w:rPr>
              <w:t>404</w:t>
            </w:r>
          </w:p>
        </w:tc>
        <w:tc>
          <w:tcPr>
            <w:tcW w:type="dxa" w:w="1512"/>
          </w:tcPr>
          <w:p>
            <w:pPr>
              <w:spacing w:before="20" w:after="20" w:line="240" w:lineRule="auto"/>
              <w:jc w:val="center"/>
            </w:pPr>
            <w:r/>
            <w:r>
              <w:rPr>
                <w:rFonts w:ascii="Arial" w:hAnsi="Arial" w:eastAsia="Arial" w:cs="Arial"/>
                <w:b w:val="0"/>
                <w:i w:val="0"/>
                <w:sz w:val="18"/>
              </w:rPr>
              <w:t>179</w:t>
            </w:r>
          </w:p>
        </w:tc>
        <w:tc>
          <w:tcPr>
            <w:tcW w:type="dxa" w:w="1512"/>
          </w:tcPr>
          <w:p>
            <w:pPr>
              <w:spacing w:before="20" w:after="20" w:line="240" w:lineRule="auto"/>
              <w:jc w:val="center"/>
            </w:pPr>
            <w:r/>
            <w:r>
              <w:rPr>
                <w:rFonts w:ascii="Arial" w:hAnsi="Arial" w:eastAsia="Arial" w:cs="Arial"/>
                <w:b w:val="0"/>
                <w:i w:val="0"/>
                <w:sz w:val="18"/>
              </w:rPr>
              <w:t>44,4%</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polares é notavelmente uniforme ao longo da costa — de 179 a 206 mm em 2100 no cenário intermediário —, consequência direta da uniformidade do fator de impressão digital demonstrada na seção 4.2. A variação da elevação total entre estações, de 404 a 794 mm, é portanto produzida quase inteiramente pelo movimento vertical do terreno, e não por diferenças na resposta oceânica.</w:t>
      </w:r>
    </w:p>
    <w:p>
      <w:pPr>
        <w:spacing w:before="0" w:after="120" w:line="360" w:lineRule="auto"/>
        <w:ind w:firstLine="709"/>
        <w:jc w:val="both"/>
      </w:pPr>
      <w:r>
        <w:rPr>
          <w:rFonts w:ascii="Arial" w:hAnsi="Arial" w:eastAsia="Arial" w:cs="Arial"/>
          <w:b w:val="0"/>
          <w:i w:val="0"/>
          <w:sz w:val="24"/>
        </w:rPr>
        <w:t>Considerando os cinco cenários e os onze pontos, a parcela das calotas polares na elevação projetada é de 30,5% em média em 2050 (faixa de 18,7% a 47,9%) e de 37,2% em 2100 (faixa de 25,6% a 55,6%). A parcela cresce com o tempo porque a contribuição das calotas acelera mais que as demais, e é maior nos cenários de menor emissão porque neles a expansão térmica é proporcionalmente menor.</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estações nas quais a estimativa GNSS de movimento do terreno concorda com a taxa de fundo adotada pelo AR6, a cadeia reproduz as projeções oficiais com diferença de </w:t>
      </w:r>
      <w:r>
        <w:rPr>
          <w:rFonts w:ascii="Arial" w:hAnsi="Arial" w:eastAsia="Arial" w:cs="Arial"/>
          <w:b/>
          <w:i w:val="0"/>
          <w:sz w:val="24"/>
        </w:rPr>
        <w:t>1,0% a 3,6%</w:t>
      </w:r>
      <w:r>
        <w:rPr>
          <w:rFonts w:ascii="Arial" w:hAnsi="Arial" w:eastAsia="Arial" w:cs="Arial"/>
          <w:b w:val="0"/>
          <w:i w:val="0"/>
          <w:sz w:val="24"/>
        </w:rPr>
        <w:t xml:space="preserve"> em 2100 no cenário intermediário, e de 0,7% a 4,4% considerando os três cenários testados. Como a cadeia foi montada de forma independente, a partir de campos de impressão digital, de componentes globais de emulador próprio e de velocidades GNSS, essa concordância valida o conjunto, e não apenas uma de suas peças.</w:t>
      </w:r>
    </w:p>
    <w:p>
      <w:pPr>
        <w:spacing w:before="200" w:after="80"/>
        <w:jc w:val="center"/>
      </w:pPr>
      <w:r>
        <w:drawing>
          <wp:inline xmlns:a="http://schemas.openxmlformats.org/drawingml/2006/main" xmlns:pic="http://schemas.openxmlformats.org/drawingml/2006/picture">
            <wp:extent cx="5760000" cy="3111604"/>
            <wp:docPr id="7" name="Picture 7"/>
            <wp:cNvGraphicFramePr>
              <a:graphicFrameLocks noChangeAspect="1"/>
            </wp:cNvGraphicFramePr>
            <a:graphic>
              <a:graphicData uri="http://schemas.openxmlformats.org/drawingml/2006/picture">
                <pic:pic>
                  <pic:nvPicPr>
                    <pic:cNvPr id="0" name="Figura_07_projecoes_locais.png"/>
                    <pic:cNvPicPr/>
                  </pic:nvPicPr>
                  <pic:blipFill>
                    <a:blip r:embed="rId15"/>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7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Subsidência medida e implicação para as projeções oficiais</w:t>
      </w:r>
    </w:p>
    <w:p>
      <w:pPr>
        <w:spacing w:before="0" w:after="120" w:line="360" w:lineRule="auto"/>
        <w:ind w:firstLine="709"/>
        <w:jc w:val="both"/>
      </w:pPr>
      <w:r>
        <w:rPr>
          <w:rFonts w:ascii="Arial" w:hAnsi="Arial" w:eastAsia="Arial" w:cs="Arial"/>
          <w:b w:val="0"/>
          <w:i w:val="0"/>
          <w:sz w:val="24"/>
        </w:rPr>
        <w:t>Nas três estações restantes a cadeia diverge das projeções oficiais, e a origem da divergência é identificável. A Tabela 7 mostra que a diferença entre a velocidade vertical medida por GNSS e a taxa de fundo adotada pelo IPCC AR6, multiplicada pelos 80 anos de projeção, explica de 85% a 103% da diferença observada.</w:t>
      </w:r>
    </w:p>
    <w:p>
      <w:pPr>
        <w:spacing w:before="240" w:after="60" w:line="240" w:lineRule="auto"/>
        <w:ind w:firstLine="0"/>
        <w:jc w:val="left"/>
      </w:pPr>
      <w:r>
        <w:rPr>
          <w:rFonts w:ascii="Arial" w:hAnsi="Arial" w:eastAsia="Arial" w:cs="Arial"/>
          <w:b/>
          <w:i w:val="0"/>
          <w:sz w:val="20"/>
        </w:rPr>
        <w:t xml:space="preserve">Tabela 7 – </w:t>
      </w:r>
      <w:r>
        <w:rPr>
          <w:rFonts w:ascii="Arial" w:hAnsi="Arial" w:eastAsia="Arial" w:cs="Arial"/>
          <w:b w:val="0"/>
          <w:i w:val="0"/>
          <w:sz w:val="20"/>
        </w:rPr>
        <w:t>Movimento vertical do terreno: GNSS contra IPCC AR6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GNSS (esta pesquisa)</w:t>
            </w:r>
          </w:p>
        </w:tc>
        <w:tc>
          <w:tcPr>
            <w:tcW w:type="dxa" w:w="1814"/>
            <w:shd w:val="clear" w:color="auto" w:fill="EFEFEC"/>
          </w:tcPr>
          <w:p>
            <w:pPr>
              <w:spacing w:before="20" w:after="20" w:line="240" w:lineRule="auto"/>
              <w:jc w:val="center"/>
            </w:pPr>
            <w:r/>
            <w:r>
              <w:rPr>
                <w:rFonts w:ascii="Arial" w:hAnsi="Arial" w:eastAsia="Arial" w:cs="Arial"/>
                <w:b/>
                <w:i w:val="0"/>
                <w:sz w:val="18"/>
              </w:rPr>
              <w:t>IPCC AR6</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Diferença explicada na projeção de 2100</w:t>
            </w:r>
          </w:p>
        </w:tc>
      </w:tr>
      <w:tr>
        <w:tc>
          <w:tcPr>
            <w:tcW w:type="dxa" w:w="1814"/>
          </w:tcPr>
          <w:p>
            <w:pPr>
              <w:spacing w:before="20" w:after="20" w:line="240" w:lineRule="auto"/>
              <w:jc w:val="left"/>
            </w:pPr>
            <w:r/>
            <w:r>
              <w:rPr>
                <w:rFonts w:ascii="Arial" w:hAnsi="Arial" w:eastAsia="Arial" w:cs="Arial"/>
                <w:b w:val="0"/>
                <w:i w:val="0"/>
                <w:sz w:val="18"/>
              </w:rPr>
              <w:t>Recife (PE)</w:t>
            </w:r>
          </w:p>
        </w:tc>
        <w:tc>
          <w:tcPr>
            <w:tcW w:type="dxa" w:w="1814"/>
          </w:tcPr>
          <w:p>
            <w:pPr>
              <w:spacing w:before="20" w:after="20" w:line="240" w:lineRule="auto"/>
              <w:jc w:val="center"/>
            </w:pPr>
            <w:r/>
            <w:r>
              <w:rPr>
                <w:rFonts w:ascii="Arial" w:hAnsi="Arial" w:eastAsia="Arial" w:cs="Arial"/>
                <w:b w:val="0"/>
                <w:i w:val="0"/>
                <w:sz w:val="18"/>
              </w:rPr>
              <w:t>−3,05 ± 0,87</w:t>
            </w:r>
          </w:p>
        </w:tc>
        <w:tc>
          <w:tcPr>
            <w:tcW w:type="dxa" w:w="1814"/>
          </w:tcPr>
          <w:p>
            <w:pPr>
              <w:spacing w:before="20" w:after="20" w:line="240" w:lineRule="auto"/>
              <w:jc w:val="center"/>
            </w:pPr>
            <w:r/>
            <w:r>
              <w:rPr>
                <w:rFonts w:ascii="Arial" w:hAnsi="Arial" w:eastAsia="Arial" w:cs="Arial"/>
                <w:b w:val="0"/>
                <w:i w:val="0"/>
                <w:sz w:val="18"/>
              </w:rPr>
              <w:t>+0,49</w:t>
            </w:r>
          </w:p>
        </w:tc>
        <w:tc>
          <w:tcPr>
            <w:tcW w:type="dxa" w:w="1814"/>
          </w:tcPr>
          <w:p>
            <w:pPr>
              <w:spacing w:before="20" w:after="20" w:line="240" w:lineRule="auto"/>
              <w:jc w:val="center"/>
            </w:pPr>
            <w:r/>
            <w:r>
              <w:rPr>
                <w:rFonts w:ascii="Arial" w:hAnsi="Arial" w:eastAsia="Arial" w:cs="Arial"/>
                <w:b w:val="0"/>
                <w:i w:val="0"/>
                <w:sz w:val="18"/>
              </w:rPr>
              <w:t>−3,55</w:t>
            </w:r>
          </w:p>
        </w:tc>
        <w:tc>
          <w:tcPr>
            <w:tcW w:type="dxa" w:w="1814"/>
          </w:tcPr>
          <w:p>
            <w:pPr>
              <w:spacing w:before="20" w:after="20" w:line="240" w:lineRule="auto"/>
              <w:jc w:val="center"/>
            </w:pPr>
            <w:r/>
            <w:r>
              <w:rPr>
                <w:rFonts w:ascii="Arial" w:hAnsi="Arial" w:eastAsia="Arial" w:cs="Arial"/>
                <w:b w:val="0"/>
                <w:i w:val="0"/>
                <w:sz w:val="18"/>
              </w:rPr>
              <w:t>103%</w:t>
            </w:r>
          </w:p>
        </w:tc>
      </w:tr>
      <w:tr>
        <w:tc>
          <w:tcPr>
            <w:tcW w:type="dxa" w:w="1814"/>
          </w:tcPr>
          <w:p>
            <w:pPr>
              <w:spacing w:before="20" w:after="20" w:line="240" w:lineRule="auto"/>
              <w:jc w:val="left"/>
            </w:pPr>
            <w:r/>
            <w:r>
              <w:rPr>
                <w:rFonts w:ascii="Arial" w:hAnsi="Arial" w:eastAsia="Arial" w:cs="Arial"/>
                <w:b w:val="0"/>
                <w:i w:val="0"/>
                <w:sz w:val="18"/>
              </w:rPr>
              <w:t>Belém (PA)</w:t>
            </w:r>
          </w:p>
        </w:tc>
        <w:tc>
          <w:tcPr>
            <w:tcW w:type="dxa" w:w="1814"/>
          </w:tcPr>
          <w:p>
            <w:pPr>
              <w:spacing w:before="20" w:after="20" w:line="240" w:lineRule="auto"/>
              <w:jc w:val="center"/>
            </w:pPr>
            <w:r/>
            <w:r>
              <w:rPr>
                <w:rFonts w:ascii="Arial" w:hAnsi="Arial" w:eastAsia="Arial" w:cs="Arial"/>
                <w:b w:val="0"/>
                <w:i w:val="0"/>
                <w:sz w:val="18"/>
              </w:rPr>
              <w:t>−0,98 ± 0,95</w:t>
            </w:r>
          </w:p>
        </w:tc>
        <w:tc>
          <w:tcPr>
            <w:tcW w:type="dxa" w:w="1814"/>
          </w:tcPr>
          <w:p>
            <w:pPr>
              <w:spacing w:before="20" w:after="20" w:line="240" w:lineRule="auto"/>
              <w:jc w:val="center"/>
            </w:pPr>
            <w:r/>
            <w:r>
              <w:rPr>
                <w:rFonts w:ascii="Arial" w:hAnsi="Arial" w:eastAsia="Arial" w:cs="Arial"/>
                <w:b w:val="0"/>
                <w:i w:val="0"/>
                <w:sz w:val="18"/>
              </w:rPr>
              <w:t>+0,52</w:t>
            </w:r>
          </w:p>
        </w:tc>
        <w:tc>
          <w:tcPr>
            <w:tcW w:type="dxa" w:w="1814"/>
          </w:tcPr>
          <w:p>
            <w:pPr>
              <w:spacing w:before="20" w:after="20" w:line="240" w:lineRule="auto"/>
              <w:jc w:val="center"/>
            </w:pPr>
            <w:r/>
            <w:r>
              <w:rPr>
                <w:rFonts w:ascii="Arial" w:hAnsi="Arial" w:eastAsia="Arial" w:cs="Arial"/>
                <w:b w:val="0"/>
                <w:i w:val="0"/>
                <w:sz w:val="18"/>
              </w:rPr>
              <w:t>−1,50</w:t>
            </w:r>
          </w:p>
        </w:tc>
        <w:tc>
          <w:tcPr>
            <w:tcW w:type="dxa" w:w="1814"/>
          </w:tcPr>
          <w:p>
            <w:pPr>
              <w:spacing w:before="20" w:after="20" w:line="240" w:lineRule="auto"/>
              <w:jc w:val="center"/>
            </w:pPr>
            <w:r/>
            <w:r>
              <w:rPr>
                <w:rFonts w:ascii="Arial" w:hAnsi="Arial" w:eastAsia="Arial" w:cs="Arial"/>
                <w:b w:val="0"/>
                <w:i w:val="0"/>
                <w:sz w:val="18"/>
              </w:rPr>
              <w:t>97%</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−0,04 ± 0,94</w:t>
            </w:r>
          </w:p>
        </w:tc>
        <w:tc>
          <w:tcPr>
            <w:tcW w:type="dxa" w:w="1814"/>
          </w:tcPr>
          <w:p>
            <w:pPr>
              <w:spacing w:before="20" w:after="20" w:line="240" w:lineRule="auto"/>
              <w:jc w:val="center"/>
            </w:pPr>
            <w:r/>
            <w:r>
              <w:rPr>
                <w:rFonts w:ascii="Arial" w:hAnsi="Arial" w:eastAsia="Arial" w:cs="Arial"/>
                <w:b w:val="0"/>
                <w:i w:val="0"/>
                <w:sz w:val="18"/>
              </w:rPr>
              <w:t>−1,29</w:t>
            </w:r>
          </w:p>
        </w:tc>
        <w:tc>
          <w:tcPr>
            <w:tcW w:type="dxa" w:w="1814"/>
          </w:tcPr>
          <w:p>
            <w:pPr>
              <w:spacing w:before="20" w:after="20" w:line="240" w:lineRule="auto"/>
              <w:jc w:val="center"/>
            </w:pPr>
            <w:r/>
            <w:r>
              <w:rPr>
                <w:rFonts w:ascii="Arial" w:hAnsi="Arial" w:eastAsia="Arial" w:cs="Arial"/>
                <w:b w:val="0"/>
                <w:i w:val="0"/>
                <w:sz w:val="18"/>
              </w:rPr>
              <w:t>+1,25</w:t>
            </w:r>
          </w:p>
        </w:tc>
        <w:tc>
          <w:tcPr>
            <w:tcW w:type="dxa" w:w="1814"/>
          </w:tcPr>
          <w:p>
            <w:pPr>
              <w:spacing w:before="20" w:after="20" w:line="240" w:lineRule="auto"/>
              <w:jc w:val="center"/>
            </w:pPr>
            <w:r/>
            <w:r>
              <w:rPr>
                <w:rFonts w:ascii="Arial" w:hAnsi="Arial" w:eastAsia="Arial" w:cs="Arial"/>
                <w:b w:val="0"/>
                <w:i w:val="0"/>
                <w:sz w:val="18"/>
              </w:rPr>
              <w:t>85%</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−0,12 ± 0,53</w:t>
            </w:r>
          </w:p>
        </w:tc>
        <w:tc>
          <w:tcPr>
            <w:tcW w:type="dxa" w:w="1814"/>
          </w:tcPr>
          <w:p>
            <w:pPr>
              <w:spacing w:before="20" w:after="20" w:line="240" w:lineRule="auto"/>
              <w:jc w:val="center"/>
            </w:pPr>
            <w:r/>
            <w:r>
              <w:rPr>
                <w:rFonts w:ascii="Arial" w:hAnsi="Arial" w:eastAsia="Arial" w:cs="Arial"/>
                <w:b w:val="0"/>
                <w:i w:val="0"/>
                <w:sz w:val="18"/>
              </w:rPr>
              <w:t>+0,07</w:t>
            </w:r>
          </w:p>
        </w:tc>
        <w:tc>
          <w:tcPr>
            <w:tcW w:type="dxa" w:w="1814"/>
          </w:tcPr>
          <w:p>
            <w:pPr>
              <w:spacing w:before="20" w:after="20" w:line="240" w:lineRule="auto"/>
              <w:jc w:val="center"/>
            </w:pPr>
            <w:r/>
            <w:r>
              <w:rPr>
                <w:rFonts w:ascii="Arial" w:hAnsi="Arial" w:eastAsia="Arial" w:cs="Arial"/>
                <w:b w:val="0"/>
                <w:i w:val="0"/>
                <w:sz w:val="18"/>
              </w:rPr>
              <w:t>−0,19</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Salvador (BA)</w:t>
            </w:r>
          </w:p>
        </w:tc>
        <w:tc>
          <w:tcPr>
            <w:tcW w:type="dxa" w:w="1814"/>
          </w:tcPr>
          <w:p>
            <w:pPr>
              <w:spacing w:before="20" w:after="20" w:line="240" w:lineRule="auto"/>
              <w:jc w:val="center"/>
            </w:pPr>
            <w:r/>
            <w:r>
              <w:rPr>
                <w:rFonts w:ascii="Arial" w:hAnsi="Arial" w:eastAsia="Arial" w:cs="Arial"/>
                <w:b w:val="0"/>
                <w:i w:val="0"/>
                <w:sz w:val="18"/>
              </w:rPr>
              <w:t>+0,09 ± 0,47</w:t>
            </w:r>
          </w:p>
        </w:tc>
        <w:tc>
          <w:tcPr>
            <w:tcW w:type="dxa" w:w="1814"/>
          </w:tcPr>
          <w:p>
            <w:pPr>
              <w:spacing w:before="20" w:after="20" w:line="240" w:lineRule="auto"/>
              <w:jc w:val="center"/>
            </w:pPr>
            <w:r/>
            <w:r>
              <w:rPr>
                <w:rFonts w:ascii="Arial" w:hAnsi="Arial" w:eastAsia="Arial" w:cs="Arial"/>
                <w:b w:val="0"/>
                <w:i w:val="0"/>
                <w:sz w:val="18"/>
              </w:rPr>
              <w:t>+0,12</w:t>
            </w:r>
          </w:p>
        </w:tc>
        <w:tc>
          <w:tcPr>
            <w:tcW w:type="dxa" w:w="1814"/>
          </w:tcPr>
          <w:p>
            <w:pPr>
              <w:spacing w:before="20" w:after="20" w:line="240" w:lineRule="auto"/>
              <w:jc w:val="center"/>
            </w:pPr>
            <w:r/>
            <w:r>
              <w:rPr>
                <w:rFonts w:ascii="Arial" w:hAnsi="Arial" w:eastAsia="Arial" w:cs="Arial"/>
                <w:b w:val="0"/>
                <w:i w:val="0"/>
                <w:sz w:val="18"/>
              </w:rPr>
              <w:t>−0,02</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Imbituba (SC)</w:t>
            </w:r>
          </w:p>
        </w:tc>
        <w:tc>
          <w:tcPr>
            <w:tcW w:type="dxa" w:w="1814"/>
          </w:tcPr>
          <w:p>
            <w:pPr>
              <w:spacing w:before="20" w:after="20" w:line="240" w:lineRule="auto"/>
              <w:jc w:val="center"/>
            </w:pPr>
            <w:r/>
            <w:r>
              <w:rPr>
                <w:rFonts w:ascii="Arial" w:hAnsi="Arial" w:eastAsia="Arial" w:cs="Arial"/>
                <w:b w:val="0"/>
                <w:i w:val="0"/>
                <w:sz w:val="18"/>
              </w:rPr>
              <w:t>−0,41 ± 0,71</w:t>
            </w:r>
          </w:p>
        </w:tc>
        <w:tc>
          <w:tcPr>
            <w:tcW w:type="dxa" w:w="1814"/>
          </w:tcPr>
          <w:p>
            <w:pPr>
              <w:spacing w:before="20" w:after="20" w:line="240" w:lineRule="auto"/>
              <w:jc w:val="center"/>
            </w:pPr>
            <w:r/>
            <w:r>
              <w:rPr>
                <w:rFonts w:ascii="Arial" w:hAnsi="Arial" w:eastAsia="Arial" w:cs="Arial"/>
                <w:b w:val="0"/>
                <w:i w:val="0"/>
                <w:sz w:val="18"/>
              </w:rPr>
              <w:t>−0,23</w:t>
            </w:r>
          </w:p>
        </w:tc>
        <w:tc>
          <w:tcPr>
            <w:tcW w:type="dxa" w:w="1814"/>
          </w:tcPr>
          <w:p>
            <w:pPr>
              <w:spacing w:before="20" w:after="20" w:line="240" w:lineRule="auto"/>
              <w:jc w:val="center"/>
            </w:pPr>
            <w:r/>
            <w:r>
              <w:rPr>
                <w:rFonts w:ascii="Arial" w:hAnsi="Arial" w:eastAsia="Arial" w:cs="Arial"/>
                <w:b w:val="0"/>
                <w:i w:val="0"/>
                <w:sz w:val="18"/>
              </w:rPr>
              <w:t>−0,17</w:t>
            </w:r>
          </w:p>
        </w:tc>
        <w:tc>
          <w:tcPr>
            <w:tcW w:type="dxa" w:w="1814"/>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caso de Recife é o mais relevante em termos práticos. Duas estações GNSS, com séries efetivas de 17 anos, indicam subsidência de 3,05 ± 0,87 mm/ano, enquanto a taxa de fundo adotada pelo AR6 indica leve soerguimento.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do mar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40" w:after="160" w:line="360" w:lineRule="auto"/>
        <w:ind w:firstLine="0"/>
        <w:jc w:val="left"/>
      </w:pPr>
      <w:r>
        <w:rPr>
          <w:rFonts w:ascii="Arial" w:hAnsi="Arial" w:eastAsia="Arial" w:cs="Arial"/>
          <w:b/>
          <w:i w:val="0"/>
          <w:sz w:val="24"/>
        </w:rPr>
        <w:t>4.9 Impactos sobre a dinâmica costeira</w:t>
      </w:r>
    </w:p>
    <w:p>
      <w:pPr>
        <w:spacing w:before="0" w:after="120" w:line="360" w:lineRule="auto"/>
        <w:ind w:firstLine="709"/>
        <w:jc w:val="both"/>
      </w:pPr>
      <w:r>
        <w:rPr>
          <w:rFonts w:ascii="Arial" w:hAnsi="Arial" w:eastAsia="Arial" w:cs="Arial"/>
          <w:b w:val="0"/>
          <w:i w:val="0"/>
          <w:sz w:val="24"/>
        </w:rPr>
        <w:t>A Figura 8 e a Tabela 8 traduzem a elevação projetada em dinâmica costeira. Na Ilha Fiscal, com 51 anos de dados horários, o nível que hoje tem período de retorno de 100 anos (1.456 mm acima do nível médio atual)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Convertido para a métrica operacional de dias de alagamento, contada hora a hora no registro histórico deslocado pela elevação projetada, o resultado em 2100 no cenário intermediário é de 11,3 dias por ano acima do nível hoje anual e 0,3 dia por ano acima do nível hoje centenário na Ilha Fiscal, e de 4,9 e 0,1 dia por ano em Cananéia. O nível hoje centenário passa a ocorrer anualmente em 2110 na Ilha Fiscal e em 2116 em Cananéia.</w:t>
      </w:r>
    </w:p>
    <w:p>
      <w:pPr>
        <w:spacing w:before="0" w:after="120" w:line="360" w:lineRule="auto"/>
        <w:ind w:firstLine="709"/>
        <w:jc w:val="both"/>
      </w:pPr>
      <w:r>
        <w:rPr>
          <w:rFonts w:ascii="Arial" w:hAnsi="Arial" w:eastAsia="Arial" w:cs="Arial"/>
          <w:b w:val="0"/>
          <w:i w:val="0"/>
          <w:sz w:val="24"/>
        </w:rPr>
        <w:t xml:space="preserve">A magnitude da amplificação depende da </w:t>
      </w:r>
      <w:r>
        <w:rPr>
          <w:rFonts w:ascii="Arial" w:hAnsi="Arial" w:eastAsia="Arial" w:cs="Arial"/>
          <w:b/>
          <w:i w:val="0"/>
          <w:sz w:val="24"/>
        </w:rPr>
        <w:t>largura da distribuição de níveis extremos</w:t>
      </w:r>
      <w:r>
        <w:rPr>
          <w:rFonts w:ascii="Arial" w:hAnsi="Arial" w:eastAsia="Arial" w:cs="Arial"/>
          <w:b w:val="0"/>
          <w:i w:val="0"/>
          <w:sz w:val="24"/>
        </w:rPr>
        <w:t>: onde a maré astronômica domina e a variabilidade de ressaca é pequena, a distância entre o nível anual e o centenário é curta, e uma elevação modesta desloca a distribuição por inteiro. Entre as seis estações, essa largura varia de 78 mm em Recife a 929 mm em Imbituba, e o fator de amplificação varia na razão inversa, com correlação entre os logaritmos de r = −0,986.</w:t>
      </w:r>
    </w:p>
    <w:p>
      <w:pPr>
        <w:spacing w:before="240" w:after="60" w:line="240" w:lineRule="auto"/>
        <w:ind w:firstLine="0"/>
        <w:jc w:val="left"/>
      </w:pPr>
      <w:r>
        <w:rPr>
          <w:rFonts w:ascii="Arial" w:hAnsi="Arial" w:eastAsia="Arial" w:cs="Arial"/>
          <w:b/>
          <w:i w:val="0"/>
          <w:sz w:val="20"/>
        </w:rPr>
        <w:t xml:space="preserve">Tabela 8 – </w:t>
      </w:r>
      <w:r>
        <w:rPr>
          <w:rFonts w:ascii="Arial" w:hAnsi="Arial" w:eastAsia="Arial" w:cs="Arial"/>
          <w:b w:val="0"/>
          <w:i w:val="0"/>
          <w:sz w:val="20"/>
        </w:rPr>
        <w:t>Amplificação da frequência de extremos e recuo da linha de costa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Nível de retorno de 100 anos hoje</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2050</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2100</w:t>
            </w:r>
          </w:p>
        </w:tc>
        <w:tc>
          <w:tcPr>
            <w:tcW w:type="dxa" w:w="1512"/>
            <w:shd w:val="clear" w:color="auto" w:fill="EFEFEC"/>
          </w:tcPr>
          <w:p>
            <w:pPr>
              <w:spacing w:before="20" w:after="20" w:line="240" w:lineRule="auto"/>
              <w:jc w:val="center"/>
            </w:pPr>
            <w:r/>
            <w:r>
              <w:rPr>
                <w:rFonts w:ascii="Arial" w:hAnsi="Arial" w:eastAsia="Arial" w:cs="Arial"/>
                <w:b/>
                <w:i w:val="0"/>
                <w:sz w:val="18"/>
              </w:rPr>
              <w:t>Fator em 2100</w:t>
            </w:r>
          </w:p>
        </w:tc>
        <w:tc>
          <w:tcPr>
            <w:tcW w:type="dxa" w:w="1512"/>
            <w:shd w:val="clear" w:color="auto" w:fill="EFEFEC"/>
          </w:tcPr>
          <w:p>
            <w:pPr>
              <w:spacing w:before="20" w:after="20" w:line="240" w:lineRule="auto"/>
              <w:jc w:val="center"/>
            </w:pPr>
            <w:r/>
            <w:r>
              <w:rPr>
                <w:rFonts w:ascii="Arial" w:hAnsi="Arial" w:eastAsia="Arial" w:cs="Arial"/>
                <w:b/>
                <w:i w:val="0"/>
                <w:sz w:val="18"/>
              </w:rPr>
              <w:t>Recuo em 2100 (declividade 1:50 a 1:100)</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1.456 mm</w:t>
            </w:r>
          </w:p>
        </w:tc>
        <w:tc>
          <w:tcPr>
            <w:tcW w:type="dxa" w:w="1512"/>
          </w:tcPr>
          <w:p>
            <w:pPr>
              <w:spacing w:before="20" w:after="20" w:line="240" w:lineRule="auto"/>
              <w:jc w:val="center"/>
            </w:pPr>
            <w:r/>
            <w:r>
              <w:rPr>
                <w:rFonts w:ascii="Arial" w:hAnsi="Arial" w:eastAsia="Arial" w:cs="Arial"/>
                <w:b w:val="0"/>
                <w:i w:val="0"/>
                <w:sz w:val="18"/>
              </w:rPr>
              <w:t>10,4 anos</w:t>
            </w:r>
          </w:p>
        </w:tc>
        <w:tc>
          <w:tcPr>
            <w:tcW w:type="dxa" w:w="1512"/>
          </w:tcPr>
          <w:p>
            <w:pPr>
              <w:spacing w:before="20" w:after="20" w:line="240" w:lineRule="auto"/>
              <w:jc w:val="center"/>
            </w:pPr>
            <w:r/>
            <w:r>
              <w:rPr>
                <w:rFonts w:ascii="Arial" w:hAnsi="Arial" w:eastAsia="Arial" w:cs="Arial"/>
                <w:b w:val="0"/>
                <w:i w:val="0"/>
                <w:sz w:val="18"/>
              </w:rPr>
              <w:t>0,12 ano</w:t>
            </w:r>
          </w:p>
        </w:tc>
        <w:tc>
          <w:tcPr>
            <w:tcW w:type="dxa" w:w="1512"/>
          </w:tcPr>
          <w:p>
            <w:pPr>
              <w:spacing w:before="20" w:after="20" w:line="240" w:lineRule="auto"/>
              <w:jc w:val="center"/>
            </w:pPr>
            <w:r/>
            <w:r>
              <w:rPr>
                <w:rFonts w:ascii="Arial" w:hAnsi="Arial" w:eastAsia="Arial" w:cs="Arial"/>
                <w:b w:val="0"/>
                <w:i w:val="0"/>
                <w:sz w:val="18"/>
              </w:rPr>
              <w:t>×806</w:t>
            </w:r>
          </w:p>
        </w:tc>
        <w:tc>
          <w:tcPr>
            <w:tcW w:type="dxa" w:w="1512"/>
          </w:tcPr>
          <w:p>
            <w:pPr>
              <w:spacing w:before="20" w:after="20" w:line="240" w:lineRule="auto"/>
              <w:jc w:val="center"/>
            </w:pPr>
            <w:r/>
            <w:r>
              <w:rPr>
                <w:rFonts w:ascii="Arial" w:hAnsi="Arial" w:eastAsia="Arial" w:cs="Arial"/>
                <w:b w:val="0"/>
                <w:i w:val="0"/>
                <w:sz w:val="18"/>
              </w:rPr>
              <w:t>25 a 51 m</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1.775 mm</w:t>
            </w:r>
          </w:p>
        </w:tc>
        <w:tc>
          <w:tcPr>
            <w:tcW w:type="dxa" w:w="1512"/>
          </w:tcPr>
          <w:p>
            <w:pPr>
              <w:spacing w:before="20" w:after="20" w:line="240" w:lineRule="auto"/>
              <w:jc w:val="center"/>
            </w:pPr>
            <w:r/>
            <w:r>
              <w:rPr>
                <w:rFonts w:ascii="Arial" w:hAnsi="Arial" w:eastAsia="Arial" w:cs="Arial"/>
                <w:b w:val="0"/>
                <w:i w:val="0"/>
                <w:sz w:val="18"/>
              </w:rPr>
              <w:t>19,1 anos</w:t>
            </w:r>
          </w:p>
        </w:tc>
        <w:tc>
          <w:tcPr>
            <w:tcW w:type="dxa" w:w="1512"/>
          </w:tcPr>
          <w:p>
            <w:pPr>
              <w:spacing w:before="20" w:after="20" w:line="240" w:lineRule="auto"/>
              <w:jc w:val="center"/>
            </w:pPr>
            <w:r/>
            <w:r>
              <w:rPr>
                <w:rFonts w:ascii="Arial" w:hAnsi="Arial" w:eastAsia="Arial" w:cs="Arial"/>
                <w:b w:val="0"/>
                <w:i w:val="0"/>
                <w:sz w:val="18"/>
              </w:rPr>
              <w:t>0,54 ano</w:t>
            </w:r>
          </w:p>
        </w:tc>
        <w:tc>
          <w:tcPr>
            <w:tcW w:type="dxa" w:w="1512"/>
          </w:tcPr>
          <w:p>
            <w:pPr>
              <w:spacing w:before="20" w:after="20" w:line="240" w:lineRule="auto"/>
              <w:jc w:val="center"/>
            </w:pPr>
            <w:r/>
            <w:r>
              <w:rPr>
                <w:rFonts w:ascii="Arial" w:hAnsi="Arial" w:eastAsia="Arial" w:cs="Arial"/>
                <w:b w:val="0"/>
                <w:i w:val="0"/>
                <w:sz w:val="18"/>
              </w:rPr>
              <w:t>×184</w:t>
            </w:r>
          </w:p>
        </w:tc>
        <w:tc>
          <w:tcPr>
            <w:tcW w:type="dxa" w:w="1512"/>
          </w:tcPr>
          <w:p>
            <w:pPr>
              <w:spacing w:before="20" w:after="20" w:line="240" w:lineRule="auto"/>
              <w:jc w:val="center"/>
            </w:pPr>
            <w:r/>
            <w:r>
              <w:rPr>
                <w:rFonts w:ascii="Arial" w:hAnsi="Arial" w:eastAsia="Arial" w:cs="Arial"/>
                <w:b w:val="0"/>
                <w:i w:val="0"/>
                <w:sz w:val="18"/>
              </w:rPr>
              <w:t>25 a 50 m</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 Um evento hoje excepcional torna-se a condição normal de maré alta. A mesma análise aplicada a Recife, Salvador e Fortaleza produz fatores ainda maiores, entre 1,9 × 10⁴ e 1,2 × 10⁵, porque nessas estações os níveis extremos são dominados pela maré astronômica, com pouca variabilidade de ressaca, de modo que a distribuição de extremos é estreita e a elevação média a desloca por inteiro. Esses valores, contudo, apoiam-se em registros horários de 10 a 14 anos e devem ser lidos como indicativos; a relação entre a largura da distribuição de extremos e a sensibilidade à elevação é, em si, um resultado que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polares. A amplificação geométrica — um metro de elevação convertendo-se em dezenas de metros de praia — é o que transforma a elevação do nível do mar de um problema de nível em um problema de dinâmica costeira. Considerando que cerca de 60% do litoral brasileiro — 4.500 de 7.500 km — já apresenta processos erosivos (MUEHE, 2018), o efeito incide sobre um sistema já em desequilíbrio.</w:t>
      </w:r>
    </w:p>
    <w:p>
      <w:pPr>
        <w:spacing w:before="200" w:after="80"/>
        <w:jc w:val="center"/>
      </w:pPr>
      <w:r>
        <w:drawing>
          <wp:inline xmlns:a="http://schemas.openxmlformats.org/drawingml/2006/main" xmlns:pic="http://schemas.openxmlformats.org/drawingml/2006/picture">
            <wp:extent cx="5760000" cy="2801577"/>
            <wp:docPr id="8" name="Picture 8"/>
            <wp:cNvGraphicFramePr>
              <a:graphicFrameLocks noChangeAspect="1"/>
            </wp:cNvGraphicFramePr>
            <a:graphic>
              <a:graphicData uri="http://schemas.openxmlformats.org/drawingml/2006/picture">
                <pic:pic>
                  <pic:nvPicPr>
                    <pic:cNvPr id="0" name="Figura_08_extremos_recuo.png"/>
                    <pic:cNvPicPr/>
                  </pic:nvPicPr>
                  <pic:blipFill>
                    <a:blip r:embed="rId16"/>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8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4.10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As velocidades GNSS cobrem de 8 a 21 anos e são extrapoladas como constantes até 2100, hipótese razoável para processos geológicos mas questionável onde a subsidência decorre de extração de água subterrânea, cuja taxa pode variar. O emulador reproduz mal a resposta antártica, pelo motivo discutido na seção 4.5, e por isso a via B é mantida como projeção de referência. Três parâmetros do emulador não são identificados pelos dados: o limiar T₀ converge para o extremo inferior do intervalo admitido nos ajustes da Groenlândia e das geleiras (−3,0 K), e o expoente q do termo estérico converge para o extremo inferior (q = 1), com intervalo de bootstrap cobrindo todo o intervalo permitido (1 a 3). Nesses três casos é a restrição imposta, e não a observação, que fixa o valor. O forçante é suavizado por média móvel centrada, escolha que preserva o alinhamento temporal entre forçante e resposta mas faz o valor suavizado de um ano depender de anos posteriores. Para os três componentes de massa a janela selecionada é de um ano, de modo que nenhuma suavização é aplicada e a calibração cega da validação V3 é estritamente cega ao futuro; para o termo estérico, de janela cinco, a janela de calibração incorpora dois anos além do corte de 1989. Substituída a média centrada por média retroativa, a validação aninhada passa a selecionar para a Groenlândia a forma com termo de taxa e janela de vinte e um anos, e o erro de V3 nesse componente sobe de 5,0% para 64,7%: o resultado de V3 é condicionado à convenção de suavização e não deve ser lido como propriedade invariante do emulador. Por fim, apenas duas estações brasileiras possuem registro longo o bastante para o teste de fechamento local,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deste trabalho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um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medida no período de satélite excede provavelmente a média do século XX — razão com mediana de 5,0, intervalo de 95% de 0 a 13,6 e probabilidade de 93% de exceder a unidade — e é compatível com a sensibilidade implícita nas projeções do IPCC AR6, o que sustenta de forma independente a magnitude dessas projeções sem autorizar a conclusão de que sejam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Independentemente da estação, porém, seis dos quinze são estruturalmente incapazes de gerar valor fora da faixa de treino.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e onde os registros atuais não sustentam níveis de retorno centenários; instalar e manter estações GNSS colocalizadas com os marégrafos brasileiros, requisito para qualquer atribuição confiável; e incorporar à cadeia a resposta dinâmica do litoral mediante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CHURCH, J. A.; WHITE, N. J. Sea-level rise from the late 19th to the early 21st century. </w:t>
      </w:r>
      <w:r>
        <w:rPr>
          <w:rFonts w:ascii="Arial" w:hAnsi="Arial" w:eastAsia="Arial" w:cs="Arial"/>
          <w:b/>
          <w:i w:val="0"/>
          <w:sz w:val="24"/>
        </w:rPr>
        <w:t>Surveys in Geophysics</w:t>
      </w:r>
      <w:r>
        <w:rPr>
          <w:rFonts w:ascii="Arial" w:hAnsi="Arial" w:eastAsia="Arial" w:cs="Arial"/>
          <w:b w:val="0"/>
          <w:i w:val="0"/>
          <w:sz w:val="24"/>
        </w:rPr>
        <w:t>, v. 32, p. 585-602, 2011. DOI: https://doi.org/10.1007/s10712-011-9119-1.</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FOX-KEMPER, B. et al. Ocean, cryosphere and sea level change. In: IPCC.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1211-1362.</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LEVITUS, S. et al. World ocean heat content and thermosteric sea level change (0-2000 m), 1955-2010. </w:t>
      </w:r>
      <w:r>
        <w:rPr>
          <w:rFonts w:ascii="Arial" w:hAnsi="Arial" w:eastAsia="Arial" w:cs="Arial"/>
          <w:b/>
          <w:i w:val="0"/>
          <w:sz w:val="24"/>
        </w:rPr>
        <w:t>Geophysical Research Letters</w:t>
      </w:r>
      <w:r>
        <w:rPr>
          <w:rFonts w:ascii="Arial" w:hAnsi="Arial" w:eastAsia="Arial" w:cs="Arial"/>
          <w:b w:val="0"/>
          <w:i w:val="0"/>
          <w:sz w:val="24"/>
        </w:rPr>
        <w:t>, v. 39, L10603, 2012. DOI: https://doi.org/10.1029/2012GL051106.</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Critérios morfodinâmicos para o estabelecimento de limites da orla costeira para fins de gerenciamento. </w:t>
      </w:r>
      <w:r>
        <w:rPr>
          <w:rFonts w:ascii="Arial" w:hAnsi="Arial" w:eastAsia="Arial" w:cs="Arial"/>
          <w:b/>
          <w:i w:val="0"/>
          <w:sz w:val="24"/>
        </w:rPr>
        <w:t>Revista Brasileira de Geomorfologia</w:t>
      </w:r>
      <w:r>
        <w:rPr>
          <w:rFonts w:ascii="Arial" w:hAnsi="Arial" w:eastAsia="Arial" w:cs="Arial"/>
          <w:b w:val="0"/>
          <w:i w:val="0"/>
          <w:sz w:val="24"/>
        </w:rPr>
        <w:t>, v. 2, n. 1, p. 35-44, 2001. DOI: https://doi.org/10.20502/rbg.v2i1.6.</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0" w:after="120" w:line="360" w:lineRule="auto"/>
        <w:ind w:firstLine="709"/>
        <w:jc w:val="both"/>
      </w:pPr>
      <w:r>
        <w:rPr>
          <w:rFonts w:ascii="Arial" w:hAnsi="Arial" w:eastAsia="Arial" w:cs="Arial"/>
          <w:b w:val="0"/>
          <w:i w:val="0"/>
          <w:sz w:val="24"/>
        </w:rPr>
        <w:t xml:space="preserve">WIESE, D. N. et al. </w:t>
      </w:r>
      <w:r>
        <w:rPr>
          <w:rFonts w:ascii="Arial" w:hAnsi="Arial" w:eastAsia="Arial" w:cs="Arial"/>
          <w:b/>
          <w:i w:val="0"/>
          <w:sz w:val="24"/>
        </w:rPr>
        <w:t>JPL GRACE and GRACE-FO Mascon Ocean, Ice, and Hydrology Equivalent Water Height RL06.3M CRI Filtered Version 4.0</w:t>
      </w:r>
      <w:r>
        <w:rPr>
          <w:rFonts w:ascii="Arial" w:hAnsi="Arial" w:eastAsia="Arial" w:cs="Arial"/>
          <w:b w:val="0"/>
          <w:i w:val="0"/>
          <w:sz w:val="24"/>
        </w:rPr>
        <w:t>. PO.DAAC, 2022. DOI: https://doi.org/10.5067/TEMSC-3JC634.</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2026-10-30T06:55:38Z</dcterms:created>
  <dcterms:modified xsi:type="dcterms:W3CDTF">2026-10-30T06:55:38Z</dcterms:modified>
  <cp:category/>
</cp:coreProperties>
</file>