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rFonts w:ascii="Arial" w:hAnsi="Arial" w:eastAsia="Arial Unicode MS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/>
          <w:b/>
          <w:bCs/>
          <w:color w:val="111111"/>
          <w:sz w:val="22"/>
          <w:szCs w:val="22"/>
        </w:rPr>
      </w:pPr>
      <w:bookmarkStart w:id="0" w:name="__DdeLink__370_2790621003"/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DIREITO CIVIL V (FAMÍLIA) </w:t>
      </w:r>
      <w:bookmarkEnd w:id="0"/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Propiciar ao aluno conhecimento dos diversos aspectos jurídicos tutelares da família como elemento central na sociedade, seja ela estabelecida através de casamento, seja através de união entre pessoas, capacitando o aluno para solução de conflitos nesse aspecto.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Noções preliminares de direito de família. A família. Direito parenteral. Direito matrimonial. Concubinato e união estável. Filiação e pátrio poder. Direito assistencial. Novos rumos dos direitos da família.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DINIZ, Maria Helena. Curso de direito civil. Vol. 5. São Paulo: Saraiva, 2010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GONÇALVES, Carlos Roberto. Direito civil brasileiro. 11ed. São Paulo: Saraiva, 2014.v.6.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RODRIGUES, Sílvio. Direito Civil. Vol. 6. São Paulo: Saraiva, 2008.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FIUZA,César. Direito Civil: curso completo.14ed.rev., atual e ampl. Belo Horizonte: Del Rey,2010.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LOUREIRO, Luiz Guilherme. Curso Completo de Direito Civil .2ed.rev.,atual. Rio de Janeiro: Forense; São Paulo: Método,2009.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MONTEIRO, Washington de Barros. Curso de direito civil – direito de família. Vol. 2. 38ª ed. São Paulo: Saraiva, 2010.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VENOSA, Silvio de Salvo. Direito Civil: Direito de Família. 9ed. São Paulo: Atlas,2009. V.6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WALD, Arnoldo. Curso de direito civil brasileiro – o novo direito de família. São Paulo: Saraiva, 2009.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LibreOffice/6.0.5.2$Windows_X86_64 LibreOffice_project/54c8cbb85f300ac59db32fe8a675ff7683cd5a16</Application>
  <Pages>1</Pages>
  <Words>217</Words>
  <Characters>1367</Characters>
  <CharactersWithSpaces>1600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2018-07-31T15:41:57Z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