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bookmarkStart w:id="0" w:name="__DdeLink__236_2636633119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ELEITORAL </w:t>
      </w:r>
      <w:bookmarkEnd w:id="0"/>
    </w:p>
    <w:p>
      <w:pPr>
        <w:pStyle w:val="Normal"/>
        <w:jc w:val="both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Traçar a evolução do Direito Eleitoral; Explicitar a legislação eleitoral no Brasil; Estabelecer relação entre Direito Eleitoral e sociedade democrática; Evidenciar a função social da Justiça Eleitoral.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Democracia clássica e moderna; Instituições do Direito Eleitoral; Sufrágio; O voto; A qualificação e a inscrição; O voto secreto; Plebiscito; O referendum; O voto e a iniciativa popular; A representação política; As eleições; Os partidos políticos; O processo eleitoral; As inelegibilidades; Inelegibilidade e segurança nacional; Propaganda eleitoral; Justiça eleitoral; Processo e julgamento dos crimes eleitorais.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CAGGIANO, Monica Herman S.(coord.) Direito Eleitoral: estudo em homenagem a Claudio Lembo. São Paulo: Saraiva 2013.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PONTE, Antonio Carlos da. Crimes eleitorais. São Paulo: Saraiva 2008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VELLOSO, Carlos Mario da Silva; AGRA, Walber de Moura. Elementos de Direito Eleitoral. 3ed.São Paulo: Saraiva,2012.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BRASIL. Tribunal Regional Eleitoral do Pará. Normas Eleitorais: eleições 2014. Belém: TRE-Pa, 2014.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BRASIL. Código Eleitoral. 20ed. São Paulo: Saraiva 2002.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LENZA, Pedro. Direito Constitucional esquematizado. 18 ed. rev., atual e ampl. São Paulo: Saraiva 2014.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PINHO, Humberto Dalla Bernardina de. Direito Processual Civil Contemporâneo: teoria geral do processo. 5ed. São Paulo: Saraiva 2013 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>TAVARES, Andre Ramos. Curso de Direito Constitucional. 8 ed.rev e atual. São Paulo: Saraiva 2010.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LibreOffice/6.0.5.2$Windows_X86_64 LibreOffice_project/54c8cbb85f300ac59db32fe8a675ff7683cd5a16</Application>
  <Pages>1</Pages>
  <Words>232</Words>
  <Characters>1512</Characters>
  <CharactersWithSpaces>1749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2018-08-01T15:11:51Z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