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color w:val="111111"/>
          <w:sz w:val="22"/>
          <w:szCs w:val="22"/>
        </w:rPr>
      </w:pPr>
      <w:bookmarkStart w:id="0" w:name="__DdeLink__248_2790621003"/>
      <w:r>
        <w:rPr>
          <w:rFonts w:cs="Arial" w:ascii="Arial" w:hAnsi="Arial"/>
          <w:b/>
          <w:bCs/>
          <w:color w:val="111111"/>
          <w:sz w:val="22"/>
          <w:szCs w:val="22"/>
        </w:rPr>
        <w:t>DIREITO EMPRESARIAL I</w:t>
      </w:r>
      <w:bookmarkEnd w:id="0"/>
      <w:r>
        <w:rPr>
          <w:rFonts w:cs="Arial" w:ascii="Arial" w:hAnsi="Arial"/>
          <w:b/>
          <w:bCs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OBJETIVOS: Propiciar ao aluno uma visão geral e econômica da atividade empresarial, sua importância social, requisitos e elementos. Estudar os títulos de crédito e visualizar o Direito como elemento de custo na atividade empresária.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EMENTA: Teoria Geral do Direito Empresarial. Teorias. Abrangência da matéria empresarial. O Empresário. Registro de empresas. Requisitos para o exercício da atividade empresarial. Fundo de Empresa. Estabelecimento. Atividade empresarial e a qualidade no fornecimento. Títulos de crédito.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COELHO, Fábio Ulhoa. Curso de Direito Comercial. Vol. I. São Paulo: Saraiva, 2014. REQUIÃO, Rubens. Curso de Direito Comercial. Vol. 1. São Paulo: Saraiva, 2008. MARTINS, Fran. Curso de Direito Comercial. 33.ª ed. Rio de Janeiro: Forense, 2010. 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COELHO, Fábio Ulhoa. Manual de Direito Comercial. 18.ed. São Paulo: Saraiva, 2007.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FAZZIO JUNIOR, Waldo. Manual de Direito Comercial. São Paulo: Atlas, 2010.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NEGRÃO, Ricardo. Manual de Direito Comercial e de Empresa. 7ed. São Paulo: Saraiva, 2010.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PERIN JUNIOR, Ecio. Direito Empresarial: aspectos atuais de Direito Empresarial brasileiro e comparado. São Paulo: Método, 2005.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TOMAZETTE, Marlon. Curso de Direito Empresarial: teoria geral e Direito Societário. 3ª ed. São Paulo: Atlas, 2011.  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LibreOffice/6.0.5.2$Windows_X86_64 LibreOffice_project/54c8cbb85f300ac59db32fe8a675ff7683cd5a16</Application>
  <Pages>1</Pages>
  <Words>218</Words>
  <Characters>1360</Characters>
  <CharactersWithSpaces>1593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2018-07-31T15:34:21Z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