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200" w:rsidRPr="00697E6F" w:rsidRDefault="00666200" w:rsidP="006662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66200" w:rsidRPr="00697E6F" w:rsidRDefault="00666200" w:rsidP="006662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66200" w:rsidRPr="00697E6F" w:rsidRDefault="00666200" w:rsidP="00666200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Cs/>
        </w:rPr>
      </w:pPr>
    </w:p>
    <w:p w:rsidR="00666200" w:rsidRPr="00697E6F" w:rsidRDefault="00666200" w:rsidP="00697E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697E6F">
        <w:rPr>
          <w:rFonts w:ascii="Arial" w:hAnsi="Arial" w:cs="Arial"/>
          <w:b/>
          <w:bCs/>
        </w:rPr>
        <w:t>DIREITO PENAL I</w:t>
      </w:r>
    </w:p>
    <w:p w:rsidR="00666200" w:rsidRPr="00697E6F" w:rsidRDefault="00666200" w:rsidP="006662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666200" w:rsidRPr="00697E6F" w:rsidRDefault="00666200" w:rsidP="006662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66200" w:rsidRPr="00697E6F" w:rsidRDefault="00666200" w:rsidP="006662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697E6F">
        <w:rPr>
          <w:rFonts w:ascii="Arial" w:hAnsi="Arial" w:cs="Arial"/>
          <w:bCs/>
        </w:rPr>
        <w:t>EMENTA:</w:t>
      </w:r>
    </w:p>
    <w:p w:rsidR="00666200" w:rsidRPr="00697E6F" w:rsidRDefault="00666200" w:rsidP="00697E6F">
      <w:pPr>
        <w:autoSpaceDE w:val="0"/>
        <w:autoSpaceDN w:val="0"/>
        <w:adjustRightInd w:val="0"/>
        <w:ind w:right="-1"/>
        <w:jc w:val="both"/>
        <w:rPr>
          <w:rFonts w:ascii="Arial" w:eastAsia="Arial Unicode MS" w:hAnsi="Arial" w:cs="Arial"/>
        </w:rPr>
      </w:pPr>
      <w:r w:rsidRPr="00697E6F">
        <w:rPr>
          <w:rFonts w:ascii="Arial" w:hAnsi="Arial" w:cs="Arial"/>
        </w:rPr>
        <w:t xml:space="preserve">DIREITO PENAL E CONSTITUIÇÃO. HISTÓRIA DO DIREITO PENAL. TEORIA DA NORMA PENAL E SUA INTERPRETAÇÃO. LEI PENAL NO TEMPO E NO ESPAÇO. </w:t>
      </w:r>
      <w:proofErr w:type="gramStart"/>
      <w:r w:rsidRPr="00697E6F">
        <w:rPr>
          <w:rFonts w:ascii="Arial" w:hAnsi="Arial" w:cs="Arial"/>
        </w:rPr>
        <w:t>INTRODUÇÃO À</w:t>
      </w:r>
      <w:proofErr w:type="gramEnd"/>
      <w:r w:rsidRPr="00697E6F">
        <w:rPr>
          <w:rFonts w:ascii="Arial" w:hAnsi="Arial" w:cs="Arial"/>
        </w:rPr>
        <w:t xml:space="preserve"> TEORIA DO CRIME. TIPO E TIPICIDADE. ANTIJURIDICIDADE. CULPABILIDADE. ERRO. INTER CRIMINIS.</w:t>
      </w:r>
    </w:p>
    <w:p w:rsidR="00666200" w:rsidRPr="00697E6F" w:rsidRDefault="00666200" w:rsidP="006662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66200" w:rsidRPr="00697E6F" w:rsidRDefault="00666200" w:rsidP="006662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66200" w:rsidRPr="00697E6F" w:rsidRDefault="00666200" w:rsidP="006662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697E6F">
        <w:rPr>
          <w:rFonts w:ascii="Arial" w:hAnsi="Arial" w:cs="Arial"/>
          <w:bCs/>
        </w:rPr>
        <w:t>BIBLIOGRAFIA BÁSICA:</w:t>
      </w:r>
      <w:bookmarkStart w:id="0" w:name="_GoBack"/>
      <w:bookmarkEnd w:id="0"/>
    </w:p>
    <w:p w:rsidR="00666200" w:rsidRPr="00697E6F" w:rsidRDefault="00666200" w:rsidP="006662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66200" w:rsidRPr="00697E6F" w:rsidRDefault="00666200" w:rsidP="00666200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697E6F">
        <w:rPr>
          <w:rFonts w:ascii="Arial" w:hAnsi="Arial" w:cs="Arial"/>
          <w:sz w:val="24"/>
          <w:szCs w:val="24"/>
        </w:rPr>
        <w:t>BITENCOURT, Cézar Roberto. Tratado de direito penal: parte geral. Vol1. São Paulo: Saraiva.</w:t>
      </w:r>
    </w:p>
    <w:p w:rsidR="00666200" w:rsidRPr="00697E6F" w:rsidRDefault="00666200" w:rsidP="00666200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697E6F">
        <w:rPr>
          <w:rFonts w:ascii="Arial" w:hAnsi="Arial" w:cs="Arial"/>
          <w:sz w:val="24"/>
          <w:szCs w:val="24"/>
        </w:rPr>
        <w:t xml:space="preserve">GRECO, Rogério. Curso de direito penal: parte geral. V.1. Rio de Janeiro: </w:t>
      </w:r>
      <w:proofErr w:type="spellStart"/>
      <w:r w:rsidRPr="00697E6F">
        <w:rPr>
          <w:rFonts w:ascii="Arial" w:hAnsi="Arial" w:cs="Arial"/>
          <w:sz w:val="24"/>
          <w:szCs w:val="24"/>
        </w:rPr>
        <w:t>Impetus</w:t>
      </w:r>
      <w:proofErr w:type="spellEnd"/>
      <w:r w:rsidRPr="00697E6F">
        <w:rPr>
          <w:rFonts w:ascii="Arial" w:hAnsi="Arial" w:cs="Arial"/>
          <w:sz w:val="24"/>
          <w:szCs w:val="24"/>
        </w:rPr>
        <w:t>.</w:t>
      </w:r>
    </w:p>
    <w:p w:rsidR="00666200" w:rsidRPr="00697E6F" w:rsidRDefault="00666200" w:rsidP="00666200">
      <w:pPr>
        <w:jc w:val="both"/>
        <w:rPr>
          <w:rFonts w:ascii="Arial" w:eastAsia="Arial Unicode MS" w:hAnsi="Arial" w:cs="Arial"/>
          <w:sz w:val="24"/>
          <w:szCs w:val="24"/>
        </w:rPr>
      </w:pPr>
      <w:r w:rsidRPr="00697E6F">
        <w:rPr>
          <w:rFonts w:ascii="Arial" w:eastAsia="Arial Unicode MS" w:hAnsi="Arial" w:cs="Arial"/>
          <w:sz w:val="24"/>
          <w:szCs w:val="24"/>
        </w:rPr>
        <w:t>MIRABET, Júlio Fabbrini. Manual de direito penal: parte geral.  V. 1. São Paulo: Atlas.</w:t>
      </w:r>
    </w:p>
    <w:p w:rsidR="00666200" w:rsidRPr="00697E6F" w:rsidRDefault="00666200" w:rsidP="00666200">
      <w:pPr>
        <w:jc w:val="both"/>
        <w:rPr>
          <w:rFonts w:ascii="Arial" w:eastAsia="Arial Unicode MS" w:hAnsi="Arial" w:cs="Arial"/>
          <w:sz w:val="24"/>
          <w:szCs w:val="24"/>
        </w:rPr>
      </w:pPr>
      <w:r w:rsidRPr="00697E6F">
        <w:rPr>
          <w:rFonts w:ascii="Arial" w:eastAsia="Arial Unicode MS" w:hAnsi="Arial" w:cs="Arial"/>
          <w:sz w:val="24"/>
          <w:szCs w:val="24"/>
        </w:rPr>
        <w:t xml:space="preserve">CAPEZ, Fernando. Curso de direito penal: parte geral. </w:t>
      </w:r>
      <w:proofErr w:type="spellStart"/>
      <w:r w:rsidRPr="00697E6F">
        <w:rPr>
          <w:rFonts w:ascii="Arial" w:eastAsia="Arial Unicode MS" w:hAnsi="Arial" w:cs="Arial"/>
          <w:sz w:val="24"/>
          <w:szCs w:val="24"/>
        </w:rPr>
        <w:t>Vol</w:t>
      </w:r>
      <w:proofErr w:type="spellEnd"/>
      <w:r w:rsidRPr="00697E6F">
        <w:rPr>
          <w:rFonts w:ascii="Arial" w:eastAsia="Arial Unicode MS" w:hAnsi="Arial" w:cs="Arial"/>
          <w:sz w:val="24"/>
          <w:szCs w:val="24"/>
        </w:rPr>
        <w:t xml:space="preserve"> 1. São Paulo: Saraiva.</w:t>
      </w:r>
    </w:p>
    <w:p w:rsidR="00666200" w:rsidRPr="00697E6F" w:rsidRDefault="00666200" w:rsidP="006662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666200" w:rsidRPr="00697E6F" w:rsidRDefault="00666200" w:rsidP="006662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697E6F">
        <w:rPr>
          <w:rFonts w:ascii="Arial" w:hAnsi="Arial" w:cs="Arial"/>
          <w:bCs/>
        </w:rPr>
        <w:t>BIBLIOGRAFIA COMPLEMENTAR:</w:t>
      </w:r>
    </w:p>
    <w:p w:rsidR="00666200" w:rsidRPr="00697E6F" w:rsidRDefault="00666200" w:rsidP="006662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666200" w:rsidRPr="00697E6F" w:rsidRDefault="00666200" w:rsidP="00666200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697E6F">
        <w:rPr>
          <w:rFonts w:ascii="Arial" w:hAnsi="Arial" w:cs="Arial"/>
          <w:sz w:val="24"/>
          <w:szCs w:val="24"/>
        </w:rPr>
        <w:t xml:space="preserve">BATISTA, Nilo. Introdução crítica ao direito penal brasileiro. Rio de Janeiro: </w:t>
      </w:r>
      <w:proofErr w:type="spellStart"/>
      <w:r w:rsidRPr="00697E6F">
        <w:rPr>
          <w:rFonts w:ascii="Arial" w:hAnsi="Arial" w:cs="Arial"/>
          <w:sz w:val="24"/>
          <w:szCs w:val="24"/>
        </w:rPr>
        <w:t>Revan</w:t>
      </w:r>
      <w:proofErr w:type="spellEnd"/>
      <w:r w:rsidRPr="00697E6F">
        <w:rPr>
          <w:rFonts w:ascii="Arial" w:hAnsi="Arial" w:cs="Arial"/>
          <w:sz w:val="24"/>
          <w:szCs w:val="24"/>
        </w:rPr>
        <w:t xml:space="preserve">. </w:t>
      </w:r>
    </w:p>
    <w:p w:rsidR="00666200" w:rsidRPr="00697E6F" w:rsidRDefault="00666200" w:rsidP="00666200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697E6F">
        <w:rPr>
          <w:rFonts w:ascii="Arial" w:hAnsi="Arial" w:cs="Arial"/>
          <w:sz w:val="24"/>
          <w:szCs w:val="24"/>
        </w:rPr>
        <w:t xml:space="preserve">BECCARIA, </w:t>
      </w:r>
      <w:proofErr w:type="spellStart"/>
      <w:r w:rsidRPr="00697E6F">
        <w:rPr>
          <w:rFonts w:ascii="Arial" w:hAnsi="Arial" w:cs="Arial"/>
          <w:sz w:val="24"/>
          <w:szCs w:val="24"/>
        </w:rPr>
        <w:t>Cesare</w:t>
      </w:r>
      <w:proofErr w:type="spellEnd"/>
      <w:r w:rsidRPr="00697E6F">
        <w:rPr>
          <w:rFonts w:ascii="Arial" w:hAnsi="Arial" w:cs="Arial"/>
          <w:sz w:val="24"/>
          <w:szCs w:val="24"/>
        </w:rPr>
        <w:t>. Dos Delitos e das Penas. Editora Martins Fontes.</w:t>
      </w:r>
    </w:p>
    <w:p w:rsidR="00666200" w:rsidRPr="00697E6F" w:rsidRDefault="00666200" w:rsidP="00666200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697E6F">
        <w:rPr>
          <w:rFonts w:ascii="Arial" w:hAnsi="Arial" w:cs="Arial"/>
          <w:sz w:val="24"/>
          <w:szCs w:val="24"/>
        </w:rPr>
        <w:t xml:space="preserve">BUSATO, Paulo César; HUAPAYA, Sandro Montes. Introdução ao Direito Penal: fundamentos para um sistema penal democrático. Rio de Janeiro: </w:t>
      </w:r>
      <w:proofErr w:type="spellStart"/>
      <w:r w:rsidRPr="00697E6F">
        <w:rPr>
          <w:rFonts w:ascii="Arial" w:hAnsi="Arial" w:cs="Arial"/>
          <w:sz w:val="24"/>
          <w:szCs w:val="24"/>
        </w:rPr>
        <w:t>Lumen</w:t>
      </w:r>
      <w:proofErr w:type="spellEnd"/>
      <w:r w:rsidRPr="00697E6F">
        <w:rPr>
          <w:rFonts w:ascii="Arial" w:hAnsi="Arial" w:cs="Arial"/>
          <w:sz w:val="24"/>
          <w:szCs w:val="24"/>
        </w:rPr>
        <w:t xml:space="preserve"> Juris. </w:t>
      </w:r>
    </w:p>
    <w:p w:rsidR="00666200" w:rsidRPr="00697E6F" w:rsidRDefault="00666200" w:rsidP="00666200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697E6F">
        <w:rPr>
          <w:rFonts w:ascii="Arial" w:hAnsi="Arial" w:cs="Arial"/>
          <w:sz w:val="24"/>
          <w:szCs w:val="24"/>
        </w:rPr>
        <w:t>CARVALHO, Salo e CARVALHO, Amilton Bueno de. Aplicação da Pena e Garantismo. Rio de Janeiro: Lúmen Júris.</w:t>
      </w:r>
    </w:p>
    <w:p w:rsidR="00666200" w:rsidRPr="00697E6F" w:rsidRDefault="00666200" w:rsidP="00666200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697E6F">
        <w:rPr>
          <w:rFonts w:ascii="Arial" w:hAnsi="Arial" w:cs="Arial"/>
          <w:sz w:val="24"/>
          <w:szCs w:val="24"/>
        </w:rPr>
        <w:t xml:space="preserve">GRECO, Rogério. Direito Penal do Equilíbrio: uma visão minimalista do Direito Penal. Niterói, RJ: Editora </w:t>
      </w:r>
      <w:proofErr w:type="spellStart"/>
      <w:r w:rsidRPr="00697E6F">
        <w:rPr>
          <w:rFonts w:ascii="Arial" w:hAnsi="Arial" w:cs="Arial"/>
          <w:sz w:val="24"/>
          <w:szCs w:val="24"/>
        </w:rPr>
        <w:t>Impetus</w:t>
      </w:r>
      <w:proofErr w:type="spellEnd"/>
      <w:r w:rsidRPr="00697E6F">
        <w:rPr>
          <w:rFonts w:ascii="Arial" w:hAnsi="Arial" w:cs="Arial"/>
          <w:sz w:val="24"/>
          <w:szCs w:val="24"/>
        </w:rPr>
        <w:t>.</w:t>
      </w:r>
    </w:p>
    <w:p w:rsidR="00666200" w:rsidRPr="00697E6F" w:rsidRDefault="00666200" w:rsidP="00666200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697E6F">
        <w:rPr>
          <w:rFonts w:ascii="Arial" w:hAnsi="Arial" w:cs="Arial"/>
          <w:sz w:val="24"/>
          <w:szCs w:val="24"/>
        </w:rPr>
        <w:t>FERRAJOLI, Luigi. Direito e Razão: teoria do garantismo penal. São Paulo: Editora Revista dos Tribunais.</w:t>
      </w:r>
    </w:p>
    <w:p w:rsidR="00666200" w:rsidRPr="00697E6F" w:rsidRDefault="00666200" w:rsidP="00666200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697E6F">
        <w:rPr>
          <w:rFonts w:ascii="Arial" w:hAnsi="Arial" w:cs="Arial"/>
          <w:sz w:val="24"/>
          <w:szCs w:val="24"/>
        </w:rPr>
        <w:t>FOUCALT, Michel. Vigiar e Punir. Editora Vozes.</w:t>
      </w:r>
    </w:p>
    <w:p w:rsidR="00666200" w:rsidRPr="00697E6F" w:rsidRDefault="00666200" w:rsidP="00666200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697E6F">
        <w:rPr>
          <w:rFonts w:ascii="Arial" w:hAnsi="Arial" w:cs="Arial"/>
          <w:sz w:val="24"/>
          <w:szCs w:val="24"/>
        </w:rPr>
        <w:lastRenderedPageBreak/>
        <w:t>PINHO, Ana Cláudia Bastos de; ALBUQUERQUE, Fernando da Silva. Precisamos falar sobre Garantismo: limites e resistência ao poder de punir. Florianópolis, SC: Empório do Direito.</w:t>
      </w:r>
    </w:p>
    <w:p w:rsidR="00666200" w:rsidRPr="00697E6F" w:rsidRDefault="00666200" w:rsidP="00666200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697E6F">
        <w:rPr>
          <w:rFonts w:ascii="Arial" w:hAnsi="Arial" w:cs="Arial"/>
          <w:sz w:val="24"/>
          <w:szCs w:val="24"/>
        </w:rPr>
        <w:t xml:space="preserve">ZAFARONI, Eugenio </w:t>
      </w:r>
      <w:proofErr w:type="spellStart"/>
      <w:r w:rsidRPr="00697E6F">
        <w:rPr>
          <w:rFonts w:ascii="Arial" w:hAnsi="Arial" w:cs="Arial"/>
          <w:sz w:val="24"/>
          <w:szCs w:val="24"/>
        </w:rPr>
        <w:t>Raúl</w:t>
      </w:r>
      <w:proofErr w:type="spellEnd"/>
      <w:r w:rsidRPr="00697E6F">
        <w:rPr>
          <w:rFonts w:ascii="Arial" w:hAnsi="Arial" w:cs="Arial"/>
          <w:sz w:val="24"/>
          <w:szCs w:val="24"/>
        </w:rPr>
        <w:t xml:space="preserve"> e PIERANGELLI, José Henrique. Em Busca das Penas Perdidas: a Perda de Legitimidade do Sistema Penal. Rio de Janeiro: </w:t>
      </w:r>
      <w:proofErr w:type="spellStart"/>
      <w:r w:rsidRPr="00697E6F">
        <w:rPr>
          <w:rFonts w:ascii="Arial" w:hAnsi="Arial" w:cs="Arial"/>
          <w:sz w:val="24"/>
          <w:szCs w:val="24"/>
        </w:rPr>
        <w:t>Revan</w:t>
      </w:r>
      <w:proofErr w:type="spellEnd"/>
      <w:r w:rsidRPr="00697E6F">
        <w:rPr>
          <w:rFonts w:ascii="Arial" w:hAnsi="Arial" w:cs="Arial"/>
          <w:sz w:val="24"/>
          <w:szCs w:val="24"/>
        </w:rPr>
        <w:t>.</w:t>
      </w:r>
    </w:p>
    <w:p w:rsidR="00666200" w:rsidRPr="00697E6F" w:rsidRDefault="00666200" w:rsidP="00666200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697E6F">
        <w:rPr>
          <w:rFonts w:ascii="Arial" w:hAnsi="Arial" w:cs="Arial"/>
          <w:sz w:val="24"/>
          <w:szCs w:val="24"/>
        </w:rPr>
        <w:t xml:space="preserve">ZAFFARONI, Eugenio </w:t>
      </w:r>
      <w:proofErr w:type="spellStart"/>
      <w:r w:rsidRPr="00697E6F">
        <w:rPr>
          <w:rFonts w:ascii="Arial" w:hAnsi="Arial" w:cs="Arial"/>
          <w:sz w:val="24"/>
          <w:szCs w:val="24"/>
        </w:rPr>
        <w:t>Raúl</w:t>
      </w:r>
      <w:proofErr w:type="spellEnd"/>
      <w:r w:rsidRPr="00697E6F">
        <w:rPr>
          <w:rFonts w:ascii="Arial" w:hAnsi="Arial" w:cs="Arial"/>
          <w:sz w:val="24"/>
          <w:szCs w:val="24"/>
        </w:rPr>
        <w:t>. e PIERANGELI, José Henrique. Manual de direito penal brasileiro: parte geral. São Paulo: Editora Revista dos Tribunais, 2017.</w:t>
      </w:r>
    </w:p>
    <w:p w:rsidR="00666200" w:rsidRPr="00697E6F" w:rsidRDefault="00666200" w:rsidP="00666200">
      <w:pPr>
        <w:jc w:val="both"/>
      </w:pPr>
    </w:p>
    <w:p w:rsidR="00221071" w:rsidRPr="00697E6F" w:rsidRDefault="00221071" w:rsidP="00666200"/>
    <w:sectPr w:rsidR="00221071" w:rsidRPr="00697E6F" w:rsidSect="00221071">
      <w:headerReference w:type="default" r:id="rId6"/>
      <w:footerReference w:type="default" r:id="rId7"/>
      <w:pgSz w:w="11906" w:h="16838"/>
      <w:pgMar w:top="184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5FA7" w:rsidRDefault="00615FA7" w:rsidP="00221071">
      <w:pPr>
        <w:spacing w:after="0" w:line="240" w:lineRule="auto"/>
      </w:pPr>
      <w:r>
        <w:separator/>
      </w:r>
    </w:p>
  </w:endnote>
  <w:endnote w:type="continuationSeparator" w:id="0">
    <w:p w:rsidR="00615FA7" w:rsidRDefault="00615FA7" w:rsidP="00221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-Bold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1071" w:rsidRDefault="00221071">
    <w:pPr>
      <w:pStyle w:val="Rodap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margin">
                <wp:posOffset>-471805</wp:posOffset>
              </wp:positionH>
              <wp:positionV relativeFrom="paragraph">
                <wp:posOffset>80645</wp:posOffset>
              </wp:positionV>
              <wp:extent cx="6344284" cy="701039"/>
              <wp:effectExtent l="0" t="0" r="0" b="4445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44284" cy="70103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4E4F" w:rsidRPr="001B4E4F" w:rsidRDefault="001B4E4F" w:rsidP="001B4E4F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1B4E4F">
                            <w:rPr>
                              <w:sz w:val="18"/>
                            </w:rPr>
                            <w:t>"Educação Superior priorizando a prática profissional, a qualidade de vida e o desenvolvimento sustentável"</w:t>
                          </w:r>
                        </w:p>
                        <w:p w:rsidR="00221071" w:rsidRDefault="00221071" w:rsidP="00221071">
                          <w:pPr>
                            <w:pStyle w:val="Rodap"/>
                            <w:jc w:val="center"/>
                          </w:pPr>
                          <w:r>
                            <w:t>Tv. Aristides Lobo, 897 – Reduto – CEP: 66053-020 – (91)3201-1318 – portaria do MEC nº 675 de 17/03/04</w:t>
                          </w:r>
                        </w:p>
                        <w:p w:rsidR="00221071" w:rsidRPr="008D6EB9" w:rsidRDefault="00615FA7" w:rsidP="00221071">
                          <w:pPr>
                            <w:pStyle w:val="Rodap"/>
                            <w:jc w:val="center"/>
                          </w:pPr>
                          <w:hyperlink r:id="rId1" w:history="1">
                            <w:r w:rsidR="00221071" w:rsidRPr="008D6EB9"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fabel@fabelnet.com.br</w:t>
                            </w:r>
                          </w:hyperlink>
                          <w:r w:rsidR="00221071" w:rsidRPr="008D6EB9">
                            <w:t xml:space="preserve"> – www.fabelnet.com.br</w:t>
                          </w:r>
                        </w:p>
                        <w:p w:rsidR="00221071" w:rsidRDefault="0022107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7.15pt;margin-top:6.35pt;width:499.55pt;height:55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" stroked="f">
              <v:textbox>
                <w:txbxContent>
                  <w:p w:rsidR="001B4E4F" w:rsidRPr="001B4E4F" w:rsidRDefault="001B4E4F" w:rsidP="001B4E4F">
                    <w:pPr>
                      <w:jc w:val="center"/>
                      <w:rPr>
                        <w:sz w:val="18"/>
                      </w:rPr>
                    </w:pPr>
                    <w:r w:rsidRPr="001B4E4F">
                      <w:rPr>
                        <w:sz w:val="18"/>
                      </w:rPr>
                      <w:t>"Educação Superior priorizando a prática profissional, a qualidade de vida e o desenvolvimento sustentável"</w:t>
                    </w:r>
                  </w:p>
                  <w:p w:rsidR="00221071" w:rsidRDefault="00221071" w:rsidP="00221071">
                    <w:pPr>
                      <w:pStyle w:val="Rodap"/>
                      <w:jc w:val="center"/>
                    </w:pPr>
                    <w:r>
                      <w:t>Tv. Aristides Lobo, 897 – Reduto – CEP: 66053-020 – (91)3201-1318 – portaria do MEC nº 675 de 17/03/04</w:t>
                    </w:r>
                  </w:p>
                  <w:p w:rsidR="00221071" w:rsidRPr="008D6EB9" w:rsidRDefault="00615FA7" w:rsidP="00221071">
                    <w:pPr>
                      <w:pStyle w:val="Rodap"/>
                      <w:jc w:val="center"/>
                    </w:pPr>
                    <w:hyperlink r:id="rId2" w:history="1">
                      <w:r w:rsidR="00221071" w:rsidRPr="008D6EB9">
                        <w:rPr>
                          <w:rStyle w:val="Hyperlink"/>
                          <w:color w:val="auto"/>
                          <w:u w:val="none"/>
                        </w:rPr>
                        <w:t>fabel@fabelnet.com.br</w:t>
                      </w:r>
                    </w:hyperlink>
                    <w:r w:rsidR="00221071" w:rsidRPr="008D6EB9">
                      <w:t xml:space="preserve"> – www.fabelnet.com.br</w:t>
                    </w:r>
                  </w:p>
                  <w:p w:rsidR="00221071" w:rsidRDefault="00221071"/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5FA7" w:rsidRDefault="00615FA7" w:rsidP="00221071">
      <w:pPr>
        <w:spacing w:after="0" w:line="240" w:lineRule="auto"/>
      </w:pPr>
      <w:r>
        <w:separator/>
      </w:r>
    </w:p>
  </w:footnote>
  <w:footnote w:type="continuationSeparator" w:id="0">
    <w:p w:rsidR="00615FA7" w:rsidRDefault="00615FA7" w:rsidP="00221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1071" w:rsidRDefault="00221071">
    <w:pPr>
      <w:pStyle w:val="Cabealho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margin">
                <wp:posOffset>-499110</wp:posOffset>
              </wp:positionH>
              <wp:positionV relativeFrom="paragraph">
                <wp:posOffset>-40005</wp:posOffset>
              </wp:positionV>
              <wp:extent cx="2148840" cy="704850"/>
              <wp:effectExtent l="0" t="0" r="0" b="0"/>
              <wp:wrapSquare wrapText="bothSides"/>
              <wp:docPr id="1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48840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21071" w:rsidRDefault="00221071">
                          <w:r>
                            <w:rPr>
                              <w:noProof/>
                              <w:lang w:eastAsia="pt-BR"/>
                            </w:rPr>
                            <w:drawing>
                              <wp:inline distT="0" distB="0" distL="0" distR="0">
                                <wp:extent cx="1968500" cy="603250"/>
                                <wp:effectExtent l="0" t="0" r="0" b="6350"/>
                                <wp:docPr id="8" name="Imagem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logo_horizontal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68500" cy="6032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39.3pt;margin-top:-3.15pt;width:169.2pt;height:55.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" stroked="f">
              <v:textbox>
                <w:txbxContent>
                  <w:p w:rsidR="00221071" w:rsidRDefault="00221071">
                    <w:r>
                      <w:rPr>
                        <w:noProof/>
                        <w:lang w:eastAsia="pt-BR"/>
                      </w:rPr>
                      <w:drawing>
                        <wp:inline distT="0" distB="0" distL="0" distR="0">
                          <wp:extent cx="1968500" cy="603250"/>
                          <wp:effectExtent l="0" t="0" r="0" b="6350"/>
                          <wp:docPr id="8" name="Imagem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logo_horizontal.jp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68500" cy="6032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:rsidR="00221071" w:rsidRDefault="0022107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071"/>
    <w:rsid w:val="00156AED"/>
    <w:rsid w:val="00164186"/>
    <w:rsid w:val="001B4E4F"/>
    <w:rsid w:val="001F49B8"/>
    <w:rsid w:val="00221071"/>
    <w:rsid w:val="00525E12"/>
    <w:rsid w:val="00615FA7"/>
    <w:rsid w:val="00666200"/>
    <w:rsid w:val="00697E6F"/>
    <w:rsid w:val="00C327CA"/>
    <w:rsid w:val="00FB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3BF81CD-BCDA-4A98-A88E-E0D2E31F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6200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210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1071"/>
  </w:style>
  <w:style w:type="paragraph" w:styleId="Rodap">
    <w:name w:val="footer"/>
    <w:basedOn w:val="Normal"/>
    <w:link w:val="RodapChar"/>
    <w:uiPriority w:val="99"/>
    <w:unhideWhenUsed/>
    <w:rsid w:val="002210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1071"/>
  </w:style>
  <w:style w:type="character" w:styleId="Hyperlink">
    <w:name w:val="Hyperlink"/>
    <w:basedOn w:val="Fontepargpadro"/>
    <w:uiPriority w:val="99"/>
    <w:unhideWhenUsed/>
    <w:rsid w:val="002210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4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fabel@fabelnet.com.br" TargetMode="External"/><Relationship Id="rId1" Type="http://schemas.openxmlformats.org/officeDocument/2006/relationships/hyperlink" Target="mailto:fabel@fabelnet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2018-07-27T20:17:00Z</dcterms:created>
  <dcterms:modified xsi:type="dcterms:W3CDTF">2018-07-27T20:17:00Z</dcterms:modified>
</cp:coreProperties>
</file>