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both"/>
        <w:rPr>
          <w:rFonts w:ascii="Times New Roman" w:hAnsi="Times New Roman" w:eastAsia="Times New Roman" w:cs="Times New Roman"/>
          <w:color w:val="000000"/>
          <w:sz w:val="24"/>
          <w:szCs w:val="24"/>
          <w:lang w:eastAsia="pt-BR"/>
        </w:rPr>
      </w:pPr>
      <w:r>
        <w:rPr>
          <w:b/>
          <w:bCs/>
        </w:rPr>
      </w:r>
    </w:p>
    <w:p>
      <w:pPr>
        <w:pStyle w:val="Normal"/>
        <w:shd w:val="clear" w:color="auto" w:fill="FFFFFF"/>
        <w:spacing w:lineRule="auto" w:line="240" w:before="0" w:after="0"/>
        <w:jc w:val="both"/>
        <w:rPr>
          <w:b/>
          <w:b/>
          <w:bCs/>
        </w:rPr>
      </w:pPr>
      <w:bookmarkStart w:id="0" w:name="__DdeLink__276_2790621003"/>
      <w:r>
        <w:rPr>
          <w:rFonts w:eastAsia="Times New Roman" w:cs="Times New Roman" w:ascii="Times New Roman" w:hAnsi="Times New Roman"/>
          <w:b/>
          <w:bCs/>
          <w:color w:val="000000"/>
          <w:sz w:val="24"/>
          <w:szCs w:val="24"/>
          <w:lang w:eastAsia="pt-BR"/>
        </w:rPr>
        <w:t>DIREITO PROCESSUAL CIVIL III</w:t>
      </w:r>
      <w:bookmarkEnd w:id="0"/>
    </w:p>
    <w:p>
      <w:pPr>
        <w:pStyle w:val="Normal"/>
        <w:shd w:val="clear" w:color="auto" w:fill="FFFFFF"/>
        <w:spacing w:lineRule="auto" w:line="240" w:before="0" w:after="0"/>
        <w:jc w:val="both"/>
        <w:rPr>
          <w:rFonts w:ascii="Times New Roman" w:hAnsi="Times New Roman" w:eastAsia="Times New Roman" w:cs="Times New Roman"/>
          <w:b w:val="false"/>
          <w:b w:val="false"/>
          <w:bCs w:val="false"/>
          <w:color w:val="000000"/>
          <w:sz w:val="24"/>
          <w:szCs w:val="24"/>
          <w:lang w:eastAsia="pt-BR"/>
        </w:rPr>
      </w:pPr>
      <w:r>
        <w:rPr>
          <w:rFonts w:eastAsia="Times New Roman" w:cs="Times New Roman" w:ascii="Times New Roman" w:hAnsi="Times New Roman"/>
          <w:b w:val="false"/>
          <w:bCs w:val="false"/>
          <w:color w:val="000000"/>
          <w:sz w:val="24"/>
          <w:szCs w:val="24"/>
          <w:lang w:eastAsia="pt-BR"/>
        </w:rPr>
      </w:r>
    </w:p>
    <w:p>
      <w:pPr>
        <w:pStyle w:val="Normal"/>
        <w:shd w:val="clear" w:color="auto" w:fill="FFFFFF"/>
        <w:spacing w:lineRule="auto" w:line="240" w:before="0" w:after="0"/>
        <w:jc w:val="both"/>
        <w:rPr>
          <w:b w:val="false"/>
          <w:b w:val="false"/>
          <w:bCs w:val="false"/>
        </w:rPr>
      </w:pPr>
      <w:r>
        <w:rPr>
          <w:rFonts w:eastAsia="Times New Roman" w:cs="Times New Roman" w:ascii="Times New Roman" w:hAnsi="Times New Roman"/>
          <w:b w:val="false"/>
          <w:bCs w:val="false"/>
          <w:color w:val="000000"/>
          <w:sz w:val="24"/>
          <w:szCs w:val="24"/>
          <w:lang w:eastAsia="pt-BR"/>
        </w:rPr>
        <w:t>EMENTA:</w:t>
      </w:r>
    </w:p>
    <w:p>
      <w:pPr>
        <w:pStyle w:val="Normal"/>
        <w:shd w:val="clear" w:color="auto" w:fill="FFFFFF"/>
        <w:spacing w:lineRule="auto" w:line="240" w:before="0" w:after="0"/>
        <w:jc w:val="both"/>
        <w:rPr>
          <w:rFonts w:ascii="Times New Roman" w:hAnsi="Times New Roman" w:eastAsia="Times New Roman" w:cs="Times New Roman"/>
          <w:b w:val="false"/>
          <w:b w:val="false"/>
          <w:bCs w:val="false"/>
          <w:color w:val="000000"/>
          <w:sz w:val="24"/>
          <w:szCs w:val="24"/>
          <w:lang w:eastAsia="pt-BR"/>
        </w:rPr>
      </w:pPr>
      <w:r>
        <w:rPr>
          <w:rFonts w:eastAsia="Times New Roman" w:cs="Times New Roman" w:ascii="Times New Roman" w:hAnsi="Times New Roman"/>
          <w:b w:val="false"/>
          <w:bCs w:val="false"/>
          <w:color w:val="000000"/>
          <w:sz w:val="24"/>
          <w:szCs w:val="24"/>
          <w:lang w:eastAsia="pt-BR"/>
        </w:rPr>
      </w:r>
      <w:bookmarkStart w:id="1" w:name="_GoBack"/>
      <w:bookmarkStart w:id="2" w:name="_GoBack"/>
      <w:bookmarkEnd w:id="2"/>
    </w:p>
    <w:p>
      <w:pPr>
        <w:pStyle w:val="Normal"/>
        <w:shd w:val="clear" w:color="auto" w:fill="FFFFFF"/>
        <w:spacing w:lineRule="auto" w:line="240" w:before="0" w:after="0"/>
        <w:jc w:val="both"/>
        <w:rPr>
          <w:b w:val="false"/>
          <w:b w:val="false"/>
          <w:bCs w:val="false"/>
        </w:rPr>
      </w:pPr>
      <w:r>
        <w:rPr>
          <w:rFonts w:eastAsia="Times New Roman" w:cs="Times New Roman" w:ascii="Times New Roman" w:hAnsi="Times New Roman"/>
          <w:b w:val="false"/>
          <w:bCs w:val="false"/>
          <w:color w:val="000000"/>
          <w:sz w:val="24"/>
          <w:szCs w:val="24"/>
          <w:lang w:eastAsia="pt-BR"/>
        </w:rPr>
        <w:t>1.Do cumprimento de sentença. 1.1. Das disposições gerais. 1.2. Do cumprimento provisório da sentença que reconhece a exigibilidade de obrigação de pagar quantia certa. 1.3 Do cumprimento definitivo da sentença que reconhece a exigibilidade de obrigação de pagar quantia certa. 1.4 Do cumprimento de sentença que reconheça a exigibilidade de obrigação de prestar alimentos. 1.5 Do cumprimento de sentença que reconheça a exigibilidade de obrigação de pagar quantia certa pela fazenda pública. 1.6 Do cumprimento de sentença que reconheça a exigibilidade de obrigação de fazer, de não fazer ou de entregar coisa. 1.7.  Introdução ao estudo da tutela jurisdicional executiva. 1.7.1 Execução em geral. 1.8. Partes. 1.9 Competência. 1.10. Dos requisitos necessários para realizar qualquer execução. 1.11. Da responsabilidade patrimonial. 1.12 Das espécies de execução. 1.13. Da execução de alimentos. 1.14. Dos embargos a execução. 1.15. Da suspensão e extinção da execução.</w:t>
      </w:r>
    </w:p>
    <w:p>
      <w:pPr>
        <w:pStyle w:val="Normal"/>
        <w:shd w:val="clear" w:color="auto" w:fill="FFFFFF"/>
        <w:spacing w:lineRule="auto" w:line="240" w:before="0" w:after="0"/>
        <w:jc w:val="both"/>
        <w:rPr>
          <w:rFonts w:ascii="Times New Roman" w:hAnsi="Times New Roman" w:eastAsia="Times New Roman" w:cs="Times New Roman"/>
          <w:b w:val="false"/>
          <w:b w:val="false"/>
          <w:bCs w:val="false"/>
          <w:color w:val="000000"/>
          <w:sz w:val="24"/>
          <w:szCs w:val="24"/>
          <w:lang w:eastAsia="pt-BR"/>
        </w:rPr>
      </w:pPr>
      <w:r>
        <w:rPr>
          <w:rFonts w:eastAsia="Times New Roman" w:cs="Times New Roman" w:ascii="Times New Roman" w:hAnsi="Times New Roman"/>
          <w:b w:val="false"/>
          <w:bCs w:val="false"/>
          <w:color w:val="000000"/>
          <w:sz w:val="24"/>
          <w:szCs w:val="24"/>
          <w:lang w:eastAsia="pt-BR"/>
        </w:rPr>
      </w:r>
    </w:p>
    <w:p>
      <w:pPr>
        <w:pStyle w:val="Normal"/>
        <w:shd w:val="clear" w:color="auto" w:fill="FFFFFF"/>
        <w:spacing w:lineRule="auto" w:line="240" w:before="0" w:after="0"/>
        <w:jc w:val="both"/>
        <w:rPr>
          <w:b w:val="false"/>
          <w:b w:val="false"/>
          <w:bCs w:val="false"/>
        </w:rPr>
      </w:pPr>
      <w:r>
        <w:rPr>
          <w:rFonts w:eastAsia="Times New Roman" w:cs="Times New Roman" w:ascii="Times New Roman" w:hAnsi="Times New Roman"/>
          <w:b w:val="false"/>
          <w:bCs w:val="false"/>
          <w:color w:val="000000"/>
          <w:sz w:val="24"/>
          <w:szCs w:val="24"/>
          <w:lang w:eastAsia="pt-BR"/>
        </w:rPr>
        <w:t>BIBLIOGRAFIA BÁSICA</w:t>
      </w:r>
    </w:p>
    <w:p>
      <w:pPr>
        <w:pStyle w:val="NormalWeb"/>
        <w:jc w:val="both"/>
        <w:rPr>
          <w:b w:val="false"/>
          <w:b w:val="false"/>
          <w:bCs w:val="false"/>
        </w:rPr>
      </w:pPr>
      <w:r>
        <w:rPr>
          <w:b w:val="false"/>
          <w:bCs w:val="false"/>
          <w:color w:val="000000"/>
          <w:sz w:val="27"/>
          <w:szCs w:val="27"/>
        </w:rPr>
        <w:t>LUNARDI, Fabricio Castagna. Curso de Direito Processual. 2ª ed. São Paulo: Saraiva, 2017.</w:t>
      </w:r>
    </w:p>
    <w:p>
      <w:pPr>
        <w:pStyle w:val="NormalWeb"/>
        <w:jc w:val="both"/>
        <w:rPr>
          <w:b w:val="false"/>
          <w:b w:val="false"/>
          <w:bCs w:val="false"/>
        </w:rPr>
      </w:pPr>
      <w:r>
        <w:rPr>
          <w:b w:val="false"/>
          <w:bCs w:val="false"/>
          <w:color w:val="000000"/>
          <w:sz w:val="27"/>
          <w:szCs w:val="27"/>
        </w:rPr>
        <w:t>MOUZALAS, Rinaldo. TERCEIRO NETO, João Otávio. MADRUGA, Eduardo. Processo Civil Volume Único. 9ª ed. Salvador: JusPodivm, 2017.</w:t>
      </w:r>
    </w:p>
    <w:p>
      <w:pPr>
        <w:pStyle w:val="NormalWeb"/>
        <w:jc w:val="both"/>
        <w:rPr>
          <w:b w:val="false"/>
          <w:b w:val="false"/>
          <w:bCs w:val="false"/>
        </w:rPr>
      </w:pPr>
      <w:r>
        <w:rPr>
          <w:b w:val="false"/>
          <w:bCs w:val="false"/>
          <w:color w:val="000000"/>
          <w:sz w:val="27"/>
          <w:szCs w:val="27"/>
        </w:rPr>
        <w:t>SANTOS, Moacyr Amaral. Primeiras linhas de direito processual civil. Vol. 2. São Paulo: Saraiva, 2016.</w:t>
      </w:r>
    </w:p>
    <w:p>
      <w:pPr>
        <w:pStyle w:val="Normal"/>
        <w:shd w:val="clear" w:color="auto" w:fill="FFFFFF"/>
        <w:spacing w:lineRule="auto" w:line="240" w:before="0" w:after="0"/>
        <w:jc w:val="both"/>
        <w:rPr>
          <w:rFonts w:ascii="Calibri" w:hAnsi="Calibri" w:eastAsia="Times New Roman" w:cs="Times New Roman"/>
          <w:b w:val="false"/>
          <w:b w:val="false"/>
          <w:bCs w:val="false"/>
          <w:color w:val="000000"/>
          <w:sz w:val="24"/>
          <w:szCs w:val="24"/>
          <w:lang w:eastAsia="pt-BR"/>
        </w:rPr>
      </w:pPr>
      <w:r>
        <w:rPr>
          <w:rFonts w:eastAsia="Times New Roman" w:cs="Times New Roman"/>
          <w:b w:val="false"/>
          <w:bCs w:val="false"/>
          <w:color w:val="000000"/>
          <w:sz w:val="24"/>
          <w:szCs w:val="24"/>
          <w:lang w:eastAsia="pt-BR"/>
        </w:rPr>
      </w:r>
    </w:p>
    <w:p>
      <w:pPr>
        <w:pStyle w:val="Normal"/>
        <w:shd w:val="clear" w:color="auto" w:fill="FFFFFF"/>
        <w:spacing w:lineRule="auto" w:line="240" w:before="0" w:after="0"/>
        <w:jc w:val="both"/>
        <w:rPr>
          <w:b w:val="false"/>
          <w:b w:val="false"/>
          <w:bCs w:val="false"/>
        </w:rPr>
      </w:pPr>
      <w:r>
        <w:rPr>
          <w:rFonts w:eastAsia="Times New Roman" w:cs="Times New Roman" w:ascii="Times New Roman" w:hAnsi="Times New Roman"/>
          <w:b w:val="false"/>
          <w:bCs w:val="false"/>
          <w:color w:val="000000"/>
          <w:sz w:val="24"/>
          <w:szCs w:val="24"/>
          <w:lang w:eastAsia="pt-BR"/>
        </w:rPr>
        <w:t>BIBLIOGRAFIA COMPLEMENTAR</w:t>
      </w:r>
    </w:p>
    <w:p>
      <w:pPr>
        <w:pStyle w:val="Normal"/>
        <w:shd w:val="clear" w:color="auto" w:fill="FFFFFF"/>
        <w:spacing w:lineRule="auto" w:line="240" w:before="0" w:after="0"/>
        <w:jc w:val="both"/>
        <w:rPr>
          <w:rFonts w:ascii="Times New Roman" w:hAnsi="Times New Roman" w:eastAsia="Times New Roman" w:cs="Times New Roman"/>
          <w:b w:val="false"/>
          <w:b w:val="false"/>
          <w:bCs w:val="false"/>
          <w:color w:val="000000"/>
          <w:sz w:val="24"/>
          <w:szCs w:val="24"/>
          <w:lang w:eastAsia="pt-BR"/>
        </w:rPr>
      </w:pPr>
      <w:r>
        <w:rPr>
          <w:rFonts w:eastAsia="Times New Roman" w:cs="Times New Roman" w:ascii="Times New Roman" w:hAnsi="Times New Roman"/>
          <w:b w:val="false"/>
          <w:bCs w:val="false"/>
          <w:color w:val="000000"/>
          <w:sz w:val="24"/>
          <w:szCs w:val="24"/>
          <w:lang w:eastAsia="pt-BR"/>
        </w:rPr>
      </w:r>
    </w:p>
    <w:p>
      <w:pPr>
        <w:pStyle w:val="NormalWeb"/>
        <w:jc w:val="both"/>
        <w:rPr>
          <w:b w:val="false"/>
          <w:b w:val="false"/>
          <w:bCs w:val="false"/>
        </w:rPr>
      </w:pPr>
      <w:r>
        <w:rPr>
          <w:b w:val="false"/>
          <w:bCs w:val="false"/>
          <w:color w:val="000000"/>
          <w:sz w:val="27"/>
          <w:szCs w:val="27"/>
        </w:rPr>
        <w:t>BUENO, Cássio Scarpinella. Curso sistematizado de direito processual civil. Vol. 2. São Paulo: Saraiva, 2016.</w:t>
      </w:r>
    </w:p>
    <w:p>
      <w:pPr>
        <w:pStyle w:val="NormalWeb"/>
        <w:jc w:val="both"/>
        <w:rPr>
          <w:b w:val="false"/>
          <w:b w:val="false"/>
          <w:bCs w:val="false"/>
        </w:rPr>
      </w:pPr>
      <w:r>
        <w:rPr>
          <w:b w:val="false"/>
          <w:bCs w:val="false"/>
          <w:color w:val="000000"/>
          <w:sz w:val="27"/>
          <w:szCs w:val="27"/>
        </w:rPr>
        <w:t>CARNELUTTI, Francesco. Sistema de Direito Processual Civil. 2ed. São Paulo: Lemos e Cruz, 2004.</w:t>
      </w:r>
    </w:p>
    <w:p>
      <w:pPr>
        <w:pStyle w:val="NormalWeb"/>
        <w:jc w:val="both"/>
        <w:rPr>
          <w:b w:val="false"/>
          <w:b w:val="false"/>
          <w:bCs w:val="false"/>
        </w:rPr>
      </w:pPr>
      <w:r>
        <w:rPr>
          <w:b w:val="false"/>
          <w:bCs w:val="false"/>
          <w:color w:val="000000"/>
          <w:sz w:val="27"/>
          <w:szCs w:val="27"/>
        </w:rPr>
        <w:t>GRECCO FILHO, Vicente. Direito Processual Civil Brasileiro. Vol. 2. 19ª ed. São Paulo: Saraiva, 2008.</w:t>
      </w:r>
    </w:p>
    <w:p>
      <w:pPr>
        <w:pStyle w:val="NormalWeb"/>
        <w:jc w:val="both"/>
        <w:rPr>
          <w:b w:val="false"/>
          <w:b w:val="false"/>
          <w:bCs w:val="false"/>
        </w:rPr>
      </w:pPr>
      <w:r>
        <w:rPr>
          <w:b w:val="false"/>
          <w:bCs w:val="false"/>
          <w:color w:val="000000"/>
          <w:sz w:val="27"/>
          <w:szCs w:val="27"/>
        </w:rPr>
        <w:t>OLIVEIRA, DIMAS Terra de. Código de Processo Civil em Poesias: com um método exclusivo de memorização em forma de poesia. São Paulo: Mundo Jurídico, 2007</w:t>
      </w:r>
    </w:p>
    <w:p>
      <w:pPr>
        <w:pStyle w:val="Normal"/>
        <w:shd w:val="clear" w:color="auto" w:fill="FFFFFF"/>
        <w:spacing w:lineRule="auto" w:line="240" w:before="0" w:after="0"/>
        <w:jc w:val="both"/>
        <w:rPr>
          <w:rFonts w:ascii="Arial" w:hAnsi="Arial" w:cs="Arial"/>
          <w:b w:val="false"/>
          <w:b w:val="false"/>
          <w:bCs w:val="false"/>
          <w:color w:val="111111"/>
          <w:sz w:val="22"/>
          <w:szCs w:val="22"/>
        </w:rPr>
      </w:pPr>
      <w:r>
        <w:rPr>
          <w:rFonts w:cs="Arial" w:ascii="Arial" w:hAnsi="Arial"/>
          <w:b w:val="false"/>
          <w:bCs w:val="false"/>
          <w:color w:val="111111"/>
          <w:sz w:val="22"/>
          <w:szCs w:val="22"/>
        </w:rPr>
      </w:r>
    </w:p>
    <w:sectPr>
      <w:headerReference w:type="default" r:id="rId2"/>
      <w:footerReference w:type="default" r:id="rId3"/>
      <w:type w:val="nextPage"/>
      <w:pgSz w:w="11906" w:h="16838"/>
      <w:pgMar w:left="1701" w:right="1701" w:header="708" w:top="1843"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45720" distB="45720" distL="114300" distR="114300" simplePos="0" locked="0" layoutInCell="1" allowOverlap="1" relativeHeight="2">
              <wp:simplePos x="0" y="0"/>
              <wp:positionH relativeFrom="margin">
                <wp:posOffset>-471805</wp:posOffset>
              </wp:positionH>
              <wp:positionV relativeFrom="paragraph">
                <wp:posOffset>80645</wp:posOffset>
              </wp:positionV>
              <wp:extent cx="6344920" cy="701675"/>
              <wp:effectExtent l="0" t="0" r="0" b="4445"/>
              <wp:wrapSquare wrapText="bothSides"/>
              <wp:docPr id="5" name="Caixa de Texto 2"/>
              <a:graphic xmlns:a="http://schemas.openxmlformats.org/drawingml/2006/main">
                <a:graphicData uri="http://schemas.microsoft.com/office/word/2010/wordprocessingShape">
                  <wps:wsp>
                    <wps:cNvSpPr/>
                    <wps:spPr>
                      <a:xfrm>
                        <a:off x="0" y="0"/>
                        <a:ext cx="6344280" cy="700920"/>
                      </a:xfrm>
                      <a:prstGeom prst="rect">
                        <a:avLst/>
                      </a:prstGeom>
                      <a:solidFill>
                        <a:srgbClr val="ffffff"/>
                      </a:solidFill>
                      <a:ln w="9360">
                        <a:noFill/>
                      </a:ln>
                    </wps:spPr>
                    <wps:style>
                      <a:lnRef idx="0"/>
                      <a:fillRef idx="0"/>
                      <a:effectRef idx="0"/>
                      <a:fontRef idx="minor"/>
                    </wps:style>
                    <wps:txb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1">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wps:txbx>
                    <wps:bodyPr>
                      <a:noAutofit/>
                    </wps:bodyPr>
                  </wps:wsp>
                </a:graphicData>
              </a:graphic>
            </wp:anchor>
          </w:drawing>
        </mc:Choice>
        <mc:Fallback>
          <w:pict>
            <v:rect id="shape_0" ID="Caixa de Texto 2" fillcolor="white" stroked="f" style="position:absolute;margin-left:-37.15pt;margin-top:6.35pt;width:499.5pt;height:55.15pt;mso-position-horizontal-relative:margin">
              <w10:wrap type="square"/>
              <v:fill o:detectmouseclick="t" type="solid" color2="black"/>
              <v:stroke color="#3465a4" weight="9360" joinstyle="miter" endcap="flat"/>
              <v:textbox>
                <w:txbxContent>
                  <w:p>
                    <w:pPr>
                      <w:pStyle w:val="Contedodoquadro"/>
                      <w:jc w:val="center"/>
                      <w:rPr>
                        <w:sz w:val="18"/>
                      </w:rPr>
                    </w:pPr>
                    <w:r>
                      <w:rPr>
                        <w:color w:val="auto"/>
                        <w:sz w:val="18"/>
                      </w:rPr>
                      <w:t>"Educação Superior priorizando a prática profissional, a qualidade de vida e o desenvolvimento sustentável"</w:t>
                    </w:r>
                  </w:p>
                  <w:p>
                    <w:pPr>
                      <w:pStyle w:val="Rodap"/>
                      <w:jc w:val="center"/>
                      <w:rPr>
                        <w:color w:val="auto"/>
                      </w:rPr>
                    </w:pPr>
                    <w:r>
                      <w:rPr>
                        <w:color w:val="auto"/>
                      </w:rPr>
                      <w:t>Tv. Aristides Lobo, 897 – Reduto – CEP: 66053-020 – (91)3201-1318 – portaria do MEC nº 675 de 17/03/04</w:t>
                    </w:r>
                  </w:p>
                  <w:p>
                    <w:pPr>
                      <w:pStyle w:val="Rodap"/>
                      <w:jc w:val="center"/>
                      <w:rPr/>
                    </w:pPr>
                    <w:hyperlink r:id="rId2">
                      <w:r>
                        <w:rPr>
                          <w:rStyle w:val="LinkdaInternet"/>
                          <w:color w:val="auto"/>
                          <w:u w:val="none"/>
                        </w:rPr>
                        <w:t>fabel@fabelnet.com.br</w:t>
                      </w:r>
                    </w:hyperlink>
                    <w:r>
                      <w:rPr>
                        <w:color w:val="auto"/>
                      </w:rPr>
                      <w:t xml:space="preserve"> – www.fabelnet.com.br</w:t>
                    </w:r>
                  </w:p>
                  <w:p>
                    <w:pPr>
                      <w:pStyle w:val="Contedodoquadro"/>
                      <w:spacing w:before="0" w:after="160"/>
                      <w:rPr>
                        <w:color w:val="auto"/>
                      </w:rPr>
                    </w:pPr>
                    <w:r>
                      <w:rPr>
                        <w:color w:val="auto"/>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mc:AlternateContent>
        <mc:Choice Requires="wps">
          <w:drawing>
            <wp:anchor behindDoc="1" distT="45720" distB="45720" distL="114300" distR="114300" simplePos="0" locked="0" layoutInCell="1" allowOverlap="1" relativeHeight="3">
              <wp:simplePos x="0" y="0"/>
              <wp:positionH relativeFrom="margin">
                <wp:posOffset>-499110</wp:posOffset>
              </wp:positionH>
              <wp:positionV relativeFrom="paragraph">
                <wp:posOffset>-40005</wp:posOffset>
              </wp:positionV>
              <wp:extent cx="2159635" cy="705485"/>
              <wp:effectExtent l="0" t="0" r="0" b="0"/>
              <wp:wrapSquare wrapText="bothSides"/>
              <wp:docPr id="1" name="Caixa de Texto 2"/>
              <a:graphic xmlns:a="http://schemas.openxmlformats.org/drawingml/2006/main">
                <a:graphicData uri="http://schemas.microsoft.com/office/word/2010/wordprocessingShape">
                  <wps:wsp>
                    <wps:cNvSpPr/>
                    <wps:spPr>
                      <a:xfrm>
                        <a:off x="0" y="0"/>
                        <a:ext cx="2158920" cy="704880"/>
                      </a:xfrm>
                      <a:prstGeom prst="rect">
                        <a:avLst/>
                      </a:prstGeom>
                      <a:solidFill>
                        <a:srgbClr val="ffffff"/>
                      </a:solidFill>
                      <a:ln w="9360">
                        <a:noFill/>
                      </a:ln>
                    </wps:spPr>
                    <wps:style>
                      <a:lnRef idx="0"/>
                      <a:fillRef idx="0"/>
                      <a:effectRef idx="0"/>
                      <a:fontRef idx="minor"/>
                    </wps:style>
                    <wps:txbx>
                      <w:txbxContent>
                        <w:p>
                          <w:pPr>
                            <w:pStyle w:val="Contedodoquadro"/>
                            <w:spacing w:before="0" w:after="160"/>
                            <w:rPr>
                              <w:color w:val="auto"/>
                            </w:rPr>
                          </w:pPr>
                          <w:r>
                            <w:rPr>
                              <w:color w:val="auto"/>
                            </w:rPr>
                            <w:drawing>
                              <wp:inline distT="0" distB="6350" distL="0" distR="0">
                                <wp:extent cx="1968500" cy="603250"/>
                                <wp:effectExtent l="0" t="0" r="0" b="0"/>
                                <wp:docPr id="3"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wps:txbx>
                    <wps:bodyPr>
                      <a:noAutofit/>
                    </wps:bodyPr>
                  </wps:wsp>
                </a:graphicData>
              </a:graphic>
              <wp14:sizeRelH relativeFrom="margin">
                <wp14:pctWidth>40000</wp14:pctWidth>
              </wp14:sizeRelH>
            </wp:anchor>
          </w:drawing>
        </mc:Choice>
        <mc:Fallback>
          <w:pict>
            <v:rect id="shape_0" ID="Caixa de Texto 2" fillcolor="white" stroked="f" style="position:absolute;margin-left:-39.3pt;margin-top:-3.15pt;width:169.95pt;height:55.45pt;mso-position-horizontal-relative:margin">
              <w10:wrap type="none"/>
              <v:fill o:detectmouseclick="t" type="solid" color2="black"/>
              <v:stroke color="#3465a4" weight="9360" joinstyle="miter" endcap="flat"/>
              <v:textbox>
                <w:txbxContent>
                  <w:p>
                    <w:pPr>
                      <w:pStyle w:val="Contedodoquadro"/>
                      <w:spacing w:before="0" w:after="160"/>
                      <w:rPr>
                        <w:color w:val="auto"/>
                      </w:rPr>
                    </w:pPr>
                    <w:r>
                      <w:rPr>
                        <w:color w:val="auto"/>
                      </w:rPr>
                      <w:drawing>
                        <wp:inline distT="0" distB="6350" distL="0" distR="0">
                          <wp:extent cx="1968500" cy="603250"/>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1"/>
                                  <a:stretch>
                                    <a:fillRect/>
                                  </a:stretch>
                                </pic:blipFill>
                                <pic:spPr bwMode="auto">
                                  <a:xfrm>
                                    <a:off x="0" y="0"/>
                                    <a:ext cx="1968500" cy="603250"/>
                                  </a:xfrm>
                                  <a:prstGeom prst="rect">
                                    <a:avLst/>
                                  </a:prstGeom>
                                </pic:spPr>
                              </pic:pic>
                            </a:graphicData>
                          </a:graphic>
                        </wp:inline>
                      </w:drawing>
                    </w:r>
                  </w:p>
                </w:txbxContent>
              </v:textbox>
            </v:rect>
          </w:pict>
        </mc:Fallback>
      </mc:AlternateContent>
    </w:r>
  </w:p>
  <w:p>
    <w:pPr>
      <w:pStyle w:val="Cabealho"/>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66200"/>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qFormat/>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221071"/>
    <w:rPr/>
  </w:style>
  <w:style w:type="character" w:styleId="RodapChar" w:customStyle="1">
    <w:name w:val="Rodapé Char"/>
    <w:basedOn w:val="DefaultParagraphFont"/>
    <w:link w:val="Rodap"/>
    <w:uiPriority w:val="99"/>
    <w:qFormat/>
    <w:rsid w:val="00221071"/>
    <w:rPr/>
  </w:style>
  <w:style w:type="character" w:styleId="LinkdaInternet">
    <w:name w:val="Link da Internet"/>
    <w:basedOn w:val="DefaultParagraphFont"/>
    <w:uiPriority w:val="99"/>
    <w:unhideWhenUsed/>
    <w:rsid w:val="00221071"/>
    <w:rPr>
      <w:color w:val="0563C1" w:themeColor="hyperlink"/>
      <w:u w:val="single"/>
    </w:rPr>
  </w:style>
  <w:style w:type="character" w:styleId="CorpodetextoChar" w:customStyle="1">
    <w:name w:val="Corpo de texto Char"/>
    <w:basedOn w:val="DefaultParagraphFont"/>
    <w:link w:val="Corpodetexto"/>
    <w:uiPriority w:val="1"/>
    <w:semiHidden/>
    <w:qFormat/>
    <w:rsid w:val="003d5156"/>
    <w:rPr>
      <w:rFonts w:ascii="Arial" w:hAnsi="Arial" w:eastAsia="Arial" w:cs="Arial"/>
      <w:sz w:val="24"/>
      <w:szCs w:val="24"/>
      <w:u w:val="single" w:color="000000"/>
      <w:lang w:val="en-US"/>
    </w:rPr>
  </w:style>
  <w:style w:type="character" w:styleId="ListLabel1">
    <w:name w:val="ListLabel 1"/>
    <w:qFormat/>
    <w:rPr>
      <w:color w:val="auto"/>
      <w:u w:val="none"/>
    </w:rPr>
  </w:style>
  <w:style w:type="character" w:styleId="Asizelarge">
    <w:name w:val="a-size-large"/>
    <w:basedOn w:val="DefaultParagraphFont"/>
    <w:qFormat/>
    <w:rPr/>
  </w:style>
  <w:style w:type="paragraph" w:styleId="Ttulo">
    <w:name w:val="Título"/>
    <w:basedOn w:val="Normal"/>
    <w:next w:val="Corpodetexto"/>
    <w:qFormat/>
    <w:pPr>
      <w:keepNext w:val="true"/>
      <w:spacing w:before="240" w:after="120"/>
    </w:pPr>
    <w:rPr>
      <w:rFonts w:ascii="Liberation Sans" w:hAnsi="Liberation Sans" w:eastAsia="Microsoft YaHei" w:cs="Arial Unicode MS"/>
      <w:sz w:val="28"/>
      <w:szCs w:val="28"/>
    </w:rPr>
  </w:style>
  <w:style w:type="paragraph" w:styleId="Corpodetexto">
    <w:name w:val="Body Text"/>
    <w:basedOn w:val="Normal"/>
    <w:link w:val="CorpodetextoChar"/>
    <w:uiPriority w:val="1"/>
    <w:semiHidden/>
    <w:unhideWhenUsed/>
    <w:qFormat/>
    <w:rsid w:val="003d5156"/>
    <w:pPr>
      <w:widowControl w:val="false"/>
      <w:spacing w:lineRule="auto" w:line="240" w:before="0" w:after="0"/>
    </w:pPr>
    <w:rPr>
      <w:rFonts w:ascii="Arial" w:hAnsi="Arial" w:eastAsia="Arial" w:cs="Arial"/>
      <w:sz w:val="24"/>
      <w:szCs w:val="24"/>
      <w:u w:val="single" w:color="000000"/>
      <w:lang w:val="en-US"/>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Cabealho">
    <w:name w:val="Header"/>
    <w:basedOn w:val="Normal"/>
    <w:link w:val="CabealhoChar"/>
    <w:uiPriority w:val="99"/>
    <w:unhideWhenUsed/>
    <w:rsid w:val="00221071"/>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221071"/>
    <w:pPr>
      <w:tabs>
        <w:tab w:val="center" w:pos="4252" w:leader="none"/>
        <w:tab w:val="right" w:pos="8504" w:leader="none"/>
      </w:tabs>
      <w:spacing w:lineRule="auto" w:line="240" w:before="0" w:after="0"/>
    </w:pPr>
    <w:rPr/>
  </w:style>
  <w:style w:type="paragraph" w:styleId="NormalWeb">
    <w:name w:val="Normal (Web)"/>
    <w:basedOn w:val="Normal"/>
    <w:uiPriority w:val="99"/>
    <w:unhideWhenUsed/>
    <w:qFormat/>
    <w:rsid w:val="00e217cb"/>
    <w:pPr>
      <w:spacing w:lineRule="auto" w:line="240" w:beforeAutospacing="1" w:afterAutospacing="1"/>
    </w:pPr>
    <w:rPr>
      <w:rFonts w:ascii="Times New Roman" w:hAnsi="Times New Roman" w:eastAsia="Times New Roman" w:cs="Times New Roman"/>
      <w:sz w:val="24"/>
      <w:szCs w:val="24"/>
      <w:lang w:eastAsia="pt-B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fabel@fabelnet.com.br" TargetMode="External"/><Relationship Id="rId2" Type="http://schemas.openxmlformats.org/officeDocument/2006/relationships/hyperlink" Target="mailto:fabel@fabelnet.com.br"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LibreOffice/6.0.5.2$Windows_X86_64 LibreOffice_project/54c8cbb85f300ac59db32fe8a675ff7683cd5a16</Application>
  <Pages>1</Pages>
  <Words>296</Words>
  <Characters>1790</Characters>
  <CharactersWithSpaces>2077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2018-07-27T20:51:00Z</dcterms:created>
  <dc:creator>Usuário do Windows</dc:creator>
  <dc:description/>
  <dc:language>pt-BR</dc:language>
  <cp:lastModifiedBy/>
  <dcterms:modified xsi:type="dcterms:W3CDTF">2018-07-31T15:36:14Z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