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Bibliography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BM4040 Data-Driven Decision Making — Brazil Fintech Disruption Dashboard</w:t>
      </w:r>
    </w:p>
    <w:p>
      <w:pPr>
        <w:pBdr>
          <w:bottom w:val="single" w:color="CCCCCC" w:sz="4"/>
        </w:pBdr>
        <w:spacing w:after="4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All references formatted in accordance with the University of Central Lancashire (UCLan) Harvard Referencing Style.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Central do Brasil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IFData — Credit Market Statistics Q4 2024.</w:t>
      </w:r>
      <w:r>
        <w:rPr>
          <w:rFonts w:ascii="Arial" w:cs="Arial" w:eastAsia="Arial" w:hAnsi="Arial"/>
          <w:sz w:val="22"/>
          <w:szCs w:val="22"/>
        </w:rPr>
        <w:t xml:space="preserve"> Brasília: Banco Central do Brasil. Available at: https://www.bcb.gov.br/en/financialstability/ifdata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Central do Brasil (2025)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BCB Open Data API — IPCA, Selic and Exchange Rates.</w:t>
      </w:r>
      <w:r>
        <w:rPr>
          <w:rFonts w:ascii="Arial" w:cs="Arial" w:eastAsia="Arial" w:hAnsi="Arial"/>
          <w:sz w:val="22"/>
          <w:szCs w:val="22"/>
        </w:rPr>
        <w:t xml:space="preserve"> Brasília: Banco Central do Brasil. Available at: https://api.bcb.gov.br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Breiman, L. (2001)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'Random forests', </w:t>
      </w:r>
      <w:r>
        <w:rPr>
          <w:rFonts w:ascii="Arial" w:cs="Arial" w:eastAsia="Arial" w:hAnsi="Arial"/>
          <w:sz w:val="22"/>
          <w:szCs w:val="22"/>
        </w:rPr>
        <w:t xml:space="preserve">Machine Learning, 45(1), pp. 5–32. doi: 10.1023/A:1010933404324.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Febraban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Pesquisa FEBRABAN de Tecnologia Bancária 2024 [FEBRABAN Banking Technology Survey 2024].</w:t>
      </w:r>
      <w:r>
        <w:rPr>
          <w:rFonts w:ascii="Arial" w:cs="Arial" w:eastAsia="Arial" w:hAnsi="Arial"/>
          <w:sz w:val="22"/>
          <w:szCs w:val="22"/>
        </w:rPr>
        <w:t xml:space="preserve"> São Paulo: Federação Brasileira de Bancos. Available at: https://febraban.org.br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European Parliament (2016)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General Data Protection Regulation (EU) 2016/679.</w:t>
      </w:r>
      <w:r>
        <w:rPr>
          <w:rFonts w:ascii="Arial" w:cs="Arial" w:eastAsia="Arial" w:hAnsi="Arial"/>
          <w:sz w:val="22"/>
          <w:szCs w:val="22"/>
        </w:rPr>
        <w:t xml:space="preserve"> Brussels: Official Journal of the European Union. Available at: https://gdpr-info.eu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International Monetary Fund (2026)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Brazil: Competition from Fintechs and the Impact on Credit Spreads — Working Paper WP/26/15.</w:t>
      </w:r>
      <w:r>
        <w:rPr>
          <w:rFonts w:ascii="Arial" w:cs="Arial" w:eastAsia="Arial" w:hAnsi="Arial"/>
          <w:sz w:val="22"/>
          <w:szCs w:val="22"/>
        </w:rPr>
        <w:t xml:space="preserve"> Washington, DC: IMF. Available at: https://www.imf.org/en/Publications/WP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Kaggle (2022)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Credit Risk Dataset [Dataset].</w:t>
      </w:r>
      <w:r>
        <w:rPr>
          <w:rFonts w:ascii="Arial" w:cs="Arial" w:eastAsia="Arial" w:hAnsi="Arial"/>
          <w:sz w:val="22"/>
          <w:szCs w:val="22"/>
        </w:rPr>
        <w:t xml:space="preserve"> Available at: https://www.kaggle.com/datasets/laotse/credit-risk-dataset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Brazil (2018)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Lei Geral de Proteção de Dados Pessoais (Lei nº 13.709/2018) [General Personal Data Protection Law].</w:t>
      </w:r>
      <w:r>
        <w:rPr>
          <w:rFonts w:ascii="Arial" w:cs="Arial" w:eastAsia="Arial" w:hAnsi="Arial"/>
          <w:sz w:val="22"/>
          <w:szCs w:val="22"/>
        </w:rPr>
        <w:t xml:space="preserve"> Brasília: Presidência da República. Available at: https://www.planalto.gov.br/ccivil_03/_ato2015-2018/2018/lei/l13709.htm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MacQueen, J. (1967)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'Some methods for classification and analysis of multivariate observations', </w:t>
      </w:r>
      <w:r>
        <w:rPr>
          <w:rFonts w:ascii="Arial" w:cs="Arial" w:eastAsia="Arial" w:hAnsi="Arial"/>
          <w:sz w:val="22"/>
          <w:szCs w:val="22"/>
        </w:rPr>
        <w:t xml:space="preserve">Proceedings of the Fifth Berkeley Symposium on Mathematical Statistics and Probability, 1, pp. 281–297.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McKinsey &amp; Company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Global Banking Annual Review 2024: The Gathering Storm.</w:t>
      </w:r>
      <w:r>
        <w:rPr>
          <w:rFonts w:ascii="Arial" w:cs="Arial" w:eastAsia="Arial" w:hAnsi="Arial"/>
          <w:sz w:val="22"/>
          <w:szCs w:val="22"/>
        </w:rPr>
        <w:t xml:space="preserve"> New York: McKinsey Global Institute. Available at: https://www.mckinsey.com/industries/financial-services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Mehrabi, N. et al. (2021)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'A survey on bias and fairness in machine learning', </w:t>
      </w:r>
      <w:r>
        <w:rPr>
          <w:rFonts w:ascii="Arial" w:cs="Arial" w:eastAsia="Arial" w:hAnsi="Arial"/>
          <w:sz w:val="22"/>
          <w:szCs w:val="22"/>
        </w:rPr>
        <w:t xml:space="preserve">ACM Computing Surveys, 54(6), pp. 1–35. doi: 10.1145/3457607.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 Holdings Ltd (2024a)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Q3 2024 Earnings Release.</w:t>
      </w:r>
      <w:r>
        <w:rPr>
          <w:rFonts w:ascii="Arial" w:cs="Arial" w:eastAsia="Arial" w:hAnsi="Arial"/>
          <w:sz w:val="22"/>
          <w:szCs w:val="22"/>
        </w:rPr>
        <w:t xml:space="preserve"> New York: Nu Holdings Ltd (NYSE: NU). Available at: https://ir.nubank.com.br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 Holdings Ltd (2024b)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Annual Report 2024 — Letter to Shareholders.</w:t>
      </w:r>
      <w:r>
        <w:rPr>
          <w:rFonts w:ascii="Arial" w:cs="Arial" w:eastAsia="Arial" w:hAnsi="Arial"/>
          <w:sz w:val="22"/>
          <w:szCs w:val="22"/>
        </w:rPr>
        <w:t xml:space="preserve"> New York: Nu Holdings Ltd. Available at: https://ir.nubank.com.br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Pedregosa, F. et al. (2011)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'Scikit-learn: Machine learning in Python', </w:t>
      </w:r>
      <w:r>
        <w:rPr>
          <w:rFonts w:ascii="Arial" w:cs="Arial" w:eastAsia="Arial" w:hAnsi="Arial"/>
          <w:sz w:val="22"/>
          <w:szCs w:val="22"/>
        </w:rPr>
        <w:t xml:space="preserve">Journal of Machine Learning Research, 12, pp. 2825–2830. Available at: https://scikit-learn.org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Philippon, T. (2019)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Great Reversal: How America Gave Up on Free Markets.</w:t>
      </w:r>
      <w:r>
        <w:rPr>
          <w:rFonts w:ascii="Arial" w:cs="Arial" w:eastAsia="Arial" w:hAnsi="Arial"/>
          <w:sz w:val="22"/>
          <w:szCs w:val="22"/>
        </w:rPr>
        <w:t xml:space="preserve"> Cambridge, MA: Harvard University Press.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Plotly Technologies Inc.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Plotly Python Open Source Graphing Library [Software].</w:t>
      </w:r>
      <w:r>
        <w:rPr>
          <w:rFonts w:ascii="Arial" w:cs="Arial" w:eastAsia="Arial" w:hAnsi="Arial"/>
          <w:sz w:val="22"/>
          <w:szCs w:val="22"/>
        </w:rPr>
        <w:t xml:space="preserve"> Available at: https://plotly.com/python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Inc.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Streamlit: The fastest way to build data apps [Software].</w:t>
      </w:r>
      <w:r>
        <w:rPr>
          <w:rFonts w:ascii="Arial" w:cs="Arial" w:eastAsia="Arial" w:hAnsi="Arial"/>
          <w:sz w:val="22"/>
          <w:szCs w:val="22"/>
        </w:rPr>
        <w:t xml:space="preserve"> Available at: https://streamlit.io (Accessed: 7 March 2026).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Taylor, S.J. and Letham, B. (2018)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'Forecasting at scale', </w:t>
      </w:r>
      <w:r>
        <w:rPr>
          <w:rFonts w:ascii="Arial" w:cs="Arial" w:eastAsia="Arial" w:hAnsi="Arial"/>
          <w:sz w:val="22"/>
          <w:szCs w:val="22"/>
        </w:rPr>
        <w:t xml:space="preserve">The American Statistician, 72(1), pp. 37–45. doi: 10.1080/00031305.2017.1380080.</w:t>
      </w:r>
    </w:p>
    <w:p>
      <w:pPr>
        <w:spacing w:before="160" w:after="160"/>
        <w:ind w:left="720" w:hanging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Aroussi, R. (2024)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yfinance: Download market data from Yahoo! Finance's API [Software].</w:t>
      </w:r>
      <w:r>
        <w:rPr>
          <w:rFonts w:ascii="Arial" w:cs="Arial" w:eastAsia="Arial" w:hAnsi="Arial"/>
          <w:sz w:val="22"/>
          <w:szCs w:val="22"/>
        </w:rPr>
        <w:t xml:space="preserve"> Available at: https://github.com/ranaroussi/yfinance (Accessed: 7 March 2026).</w:t>
      </w:r>
    </w:p>
    <w:p>
      <w:pPr>
        <w:spacing w:before="600"/>
      </w:pPr>
    </w:p>
    <w:p>
      <w:pPr>
        <w:pBdr>
          <w:top w:val="single" w:color="CCCCCC" w:sz="4"/>
        </w:pBdr>
        <w:spacing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Total references: 19  ·  Generated: 7 March 2026  ·  UCLan BM4040 Portfolio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2026-03-07T18:51:37.931Z</dcterms:created>
  <dcterms:modified xsi:type="dcterms:W3CDTF">2026-03-07T18:51:37.931Z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