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>Uberlândia/MG, 21 de junho de 2026.</w:t>
      </w:r>
    </w:p>
    <w:p w14:paraId="00000002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06" w14:textId="77777777" w:rsidR="00657DFE" w:rsidRP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b/>
          <w:bCs/>
          <w:color w:val="2E3C4F"/>
          <w:sz w:val="20"/>
          <w:szCs w:val="20"/>
        </w:rPr>
        <w:t>NOTIFICADA:</w:t>
      </w:r>
    </w:p>
    <w:p w14:paraId="020455BB" w14:textId="77777777" w:rsid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b/>
          <w:bCs/>
          <w:color w:val="2E3C4F"/>
          <w:sz w:val="20"/>
          <w:szCs w:val="20"/>
        </w:rPr>
        <w:t>SANKHYA S.A</w:t>
      </w:r>
      <w:r w:rsidR="00BB5D18">
        <w:rPr>
          <w:rFonts w:ascii="Roboto" w:eastAsia="Roboto" w:hAnsi="Roboto" w:cs="Roboto"/>
          <w:b/>
          <w:bCs/>
          <w:color w:val="2E3C4F"/>
          <w:sz w:val="20"/>
          <w:szCs w:val="20"/>
        </w:rPr>
        <w:t>,</w:t>
      </w:r>
      <w:r w:rsidRPr="00BB5D18">
        <w:rPr>
          <w:rFonts w:ascii="Roboto" w:eastAsia="Roboto" w:hAnsi="Roboto" w:cs="Roboto"/>
          <w:color w:val="2E3C4F"/>
          <w:sz w:val="20"/>
          <w:szCs w:val="20"/>
        </w:rPr>
        <w:t xml:space="preserve"> CNPJ sob o nº 26.314.062/0001-61</w:t>
      </w:r>
    </w:p>
    <w:p w14:paraId="3803FA21" w14:textId="77777777" w:rsid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color w:val="2E3C4F"/>
          <w:sz w:val="20"/>
          <w:szCs w:val="20"/>
        </w:rPr>
        <w:t xml:space="preserve">Av. Marcos de Freitas Costa, nº 369, Bairro Daniel Fonseca, </w:t>
      </w:r>
    </w:p>
    <w:p w14:paraId="00000007" w14:textId="7B599DB4" w:rsidR="00657DFE" w:rsidRP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color w:val="2E3C4F"/>
          <w:sz w:val="20"/>
          <w:szCs w:val="20"/>
        </w:rPr>
        <w:t>CEP 38.400-328, Uberlândia/MG.</w:t>
      </w:r>
    </w:p>
    <w:p w14:paraId="00000008" w14:textId="77777777" w:rsidR="00657DFE" w:rsidRPr="00BB5D18" w:rsidRDefault="00657DFE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</w:p>
    <w:p w14:paraId="00000009" w14:textId="77777777" w:rsidR="00657DFE" w:rsidRPr="00BB5D18" w:rsidRDefault="00657DFE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</w:p>
    <w:p w14:paraId="0000000A" w14:textId="77777777" w:rsidR="00657DFE" w:rsidRP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b/>
          <w:bCs/>
          <w:color w:val="2E3C4F"/>
          <w:sz w:val="20"/>
          <w:szCs w:val="20"/>
        </w:rPr>
        <w:t>NOTIFICANTE:</w:t>
      </w:r>
    </w:p>
    <w:p w14:paraId="6277028C" w14:textId="77777777" w:rsid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b/>
          <w:bCs/>
          <w:color w:val="2E3C4F"/>
          <w:sz w:val="20"/>
          <w:szCs w:val="20"/>
        </w:rPr>
        <w:t>BUQ CARE LTDA.</w:t>
      </w:r>
      <w:r w:rsidRPr="00BB5D18">
        <w:rPr>
          <w:rFonts w:ascii="Roboto" w:eastAsia="Roboto" w:hAnsi="Roboto" w:cs="Roboto"/>
          <w:color w:val="2E3C4F"/>
          <w:sz w:val="20"/>
          <w:szCs w:val="20"/>
        </w:rPr>
        <w:t xml:space="preserve">, CNPJ sob o nº 19.877.300/0001-81, </w:t>
      </w:r>
    </w:p>
    <w:p w14:paraId="262A76D2" w14:textId="77777777" w:rsidR="00BB5D18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0"/>
          <w:szCs w:val="20"/>
        </w:rPr>
      </w:pPr>
      <w:r w:rsidRPr="00BB5D18">
        <w:rPr>
          <w:rFonts w:ascii="Roboto" w:eastAsia="Roboto" w:hAnsi="Roboto" w:cs="Roboto"/>
          <w:color w:val="2E3C4F"/>
          <w:sz w:val="20"/>
          <w:szCs w:val="20"/>
        </w:rPr>
        <w:t xml:space="preserve">BR 116, nº 2.555, Módulo 17, Parque Iracema, </w:t>
      </w:r>
    </w:p>
    <w:p w14:paraId="0000000B" w14:textId="0AA990F3" w:rsidR="00657DFE" w:rsidRDefault="00000000" w:rsidP="00BB5D18">
      <w:pPr>
        <w:widowControl w:val="0"/>
        <w:jc w:val="right"/>
        <w:rPr>
          <w:rFonts w:ascii="Roboto" w:eastAsia="Roboto" w:hAnsi="Roboto" w:cs="Roboto"/>
          <w:color w:val="2E3C4F"/>
          <w:sz w:val="24"/>
          <w:szCs w:val="24"/>
        </w:rPr>
      </w:pPr>
      <w:r w:rsidRPr="00BB5D18">
        <w:rPr>
          <w:rFonts w:ascii="Roboto" w:eastAsia="Roboto" w:hAnsi="Roboto" w:cs="Roboto"/>
          <w:color w:val="2E3C4F"/>
          <w:sz w:val="20"/>
          <w:szCs w:val="20"/>
        </w:rPr>
        <w:t>Fortaleza/CE, CEP 60.824-115.</w:t>
      </w:r>
    </w:p>
    <w:p w14:paraId="0000000C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0D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0E" w14:textId="7A65853F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Referência: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Notificação Extrajudicial relativa à Proposta Comercial de Licença de Uso firmada com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 xml:space="preserve">Sankhya </w:t>
      </w:r>
      <w:r w:rsidR="00BB5D18">
        <w:rPr>
          <w:rFonts w:ascii="Roboto" w:eastAsia="Roboto" w:hAnsi="Roboto" w:cs="Roboto"/>
          <w:b/>
          <w:bCs/>
          <w:color w:val="2E3C4F"/>
          <w:sz w:val="24"/>
          <w:szCs w:val="24"/>
        </w:rPr>
        <w:t>S.A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e à Proposta Comercial de Implantação nº 12.533, firmada com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 Soluções em Tecnologia da Informação Ltda.</w:t>
      </w:r>
    </w:p>
    <w:p w14:paraId="00000010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1" w14:textId="77777777" w:rsidR="00657DFE" w:rsidRDefault="00000000">
      <w:pPr>
        <w:widowControl w:val="0"/>
        <w:jc w:val="center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1. Resumo da Notificação</w:t>
      </w:r>
    </w:p>
    <w:p w14:paraId="00000012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4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 xml:space="preserve">BUQ </w:t>
      </w:r>
      <w:proofErr w:type="spellStart"/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Care</w:t>
      </w:r>
      <w:proofErr w:type="spellEnd"/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 xml:space="preserve"> Ltda.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encaminhou notificação extrajudicial por meio da qual alega que, após aproximadamente oito meses da contratação dos serviços de licença de uso da plataforma Sankhya OM e de implantação do sistema, este último não teria atingido fase operacional, com falhas persistentes de integração e ausência de cronograma formal, o que a impediria de executar até mesmo funções básicas como o lançamento de notas fiscais. Com fundamento na teoria da coligação contratual, na frustração do fim contratual e na suposta responsabilidade solidária da cadeia de fornecimento, a notificante declara a resolução do contrato de implantação com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 Soluções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e exige que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reconheça, em cinco dias, a resolução da Proposta Comercial de Licença de Uso, cesse qualquer cobrança, abstenha-se de negativar seu nome, proceda à eliminação de dados nos termos da LGPD e reserve o direito de pleitear a restituição dos valores pagos.</w:t>
      </w:r>
    </w:p>
    <w:p w14:paraId="00000016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7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recebeu a notificação, analisou detidamente os seus fundamentos e, pela presente, manifesta sua posição de forma fundamentada.</w:t>
      </w:r>
    </w:p>
    <w:p w14:paraId="00000019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A" w14:textId="77777777" w:rsidR="00657DFE" w:rsidRDefault="00000000">
      <w:pPr>
        <w:widowControl w:val="0"/>
        <w:jc w:val="center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2. Dos Fatos</w:t>
      </w:r>
    </w:p>
    <w:p w14:paraId="0000001C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D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>Inicialmente, é necessário contextualizar a relação contratual estabelecida entre as partes para que os argumentos apresentados pela notificante sejam apreciados com a precisão que a matéria exige.</w:t>
      </w:r>
    </w:p>
    <w:p w14:paraId="0000001E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1F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0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Em 09 de setembro de 2025, foram firmados dois instrumentos distintos: a Proposta Comercial de Licença de Uso do Sankhya OM, celebrada entre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 Ltda.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,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 Jiva Tecnologia e Inovação Ltda.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e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Asis Taxtech S.A.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na qualidade de licenciantes, e a Proposta Comercial de Implantação nº 12.533, cujo objeto é exclusivamente a prestação de serviços de implantação, conduzida pela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 Soluções em Tecnologia da Informação Ltda.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Os contratos envolvem partes distintas, com obrigações específicas e independentes, e nenhum deles contém cláusula expressa de coligação que atribua responsabilidade solidária automática à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 Jiva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por atos ou omissões imputáveis à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</w:t>
      </w:r>
      <w:r>
        <w:rPr>
          <w:rFonts w:ascii="Roboto" w:eastAsia="Roboto" w:hAnsi="Roboto" w:cs="Roboto"/>
          <w:color w:val="2E3C4F"/>
          <w:sz w:val="24"/>
          <w:szCs w:val="24"/>
        </w:rPr>
        <w:t>.</w:t>
      </w:r>
    </w:p>
    <w:p w14:paraId="00000021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3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notificante sustenta que os instrumentos seriam indissociáveis e que a eventual falha na implantação deveria contaminar a licença de uso. Ocorre que tal tese não encontra amparo nos documentos firmados. A Proposta Comercial de Licença de Uso define com clareza o objeto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 Jiva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: disponibilizar o acesso à plataforma Sankhya OM, o que foi integralmente cumprido desde a contratação. A obrigação de licenciar o software é autônoma em relação à execução dos serviços de implantação, que incumbem exclusivamente à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</w:t>
      </w:r>
      <w:r>
        <w:rPr>
          <w:rFonts w:ascii="Roboto" w:eastAsia="Roboto" w:hAnsi="Roboto" w:cs="Roboto"/>
          <w:color w:val="2E3C4F"/>
          <w:sz w:val="24"/>
          <w:szCs w:val="24"/>
        </w:rPr>
        <w:t>. A coligação contratual, quando reconhecida pela jurisprudência, pressupõe nexo funcional entre os contratos capaz de justificar a extensão dos efeitos resolutivos, o que não se verifica pela simples presença de um mesmo objeto de negócio subjacente quando as partes, as obrigações e os riscos são deliberadamente segregados em instrumentos distintos.</w:t>
      </w:r>
    </w:p>
    <w:p w14:paraId="00000025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6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No mérito dos fatos alegados, a afirmação de que o projeto não teria apresentado qualquer evolução operacional em oito meses não corresponde ao histórico documentado da implantação. Entre outubro e janeiro de 2026 foram realizadas as etapas de validação de escopo, parametrização via Deploy e configurações adicionais do sistema. A partir de fevereiro e março de 2026 foram conduzidas agendas de treinamento dos usuários e validação dos processos definidos pela própria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>. Nos meses de março e abril de 2026 o projeto avançou para as etapas de validação operacional e simulações integradas dos processos, o que representa estágio avançado de maturidade na implantação de um ERP da complexidade do Sankhya OM.</w:t>
      </w:r>
    </w:p>
    <w:p w14:paraId="00000028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9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Ao longo da execução, é fato documentado que determinadas atividades foram impactadas pela falta de envio, em tempo hábil, de informações complementares, definições operacionais e validações por parte da própria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, o que gerou a necessidade de replanejamento de agendas e readequação das etapas subsequentes. Tal situação configura, ao menos em parte, mora do credor, afastando qualquer alegação de inadimplemento exclusivo por parte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ou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Sailor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. Além disso, foram </w:t>
      </w:r>
      <w:r>
        <w:rPr>
          <w:rFonts w:ascii="Roboto" w:eastAsia="Roboto" w:hAnsi="Roboto" w:cs="Roboto"/>
          <w:color w:val="2E3C4F"/>
          <w:sz w:val="24"/>
          <w:szCs w:val="24"/>
        </w:rPr>
        <w:lastRenderedPageBreak/>
        <w:t xml:space="preserve">identificadas ocorrências sistêmicas que demandaram atuação conjunta com a equipe de Service Desk e integrações conduzidas por fornecedores terceiros indicados pela própria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>, fatores que contribuíram para o prolongamento de determinadas entregas sem que isso possa ser atribuído a inércia dos fornecedores do sistema.</w:t>
      </w:r>
    </w:p>
    <w:p w14:paraId="0000002B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C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Nesse sentido, a afirmação de que o sistema seria completamente inútil e que funções básicas como o lançamento de notas fiscais estariam impossibilitadas é incompatível com o nível de evolução atingido no projeto, que chegou à fase de simulações integradas.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disponibilizou a plataforma de forma contínua, que demandou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atividades de parametrização, treinamento e integração durante todos os meses de execução.</w:t>
      </w:r>
    </w:p>
    <w:p w14:paraId="0000002E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2F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notificante menciona também a aplicabilidade do Código de Defesa do Consumidor e a suposta responsabilidade solidária da cadeia de fornecimento com fundamento nos arts. 7º, 18 e 25 do CDC.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registra que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 Ltda.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é pessoa jurídica que contratou uma plataforma ERP para uso direto em sua atividade empresarial, o que, conforme entendimento consolidado da jurisprudência do Superior Tribunal de Justiça, afasta a caracterização da hipossuficiência técnica e econômica inerente à relação de consumo. Tratando-se de relação empresarial paritária, a incidência do CDC e, por conseguinte, da responsabilidade solidária nele prevista, não é aplicável ao presente caso.</w:t>
      </w:r>
    </w:p>
    <w:p w14:paraId="00000031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32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Quanto ao pedido de resolução contratual com fundamento no art. 478 do Código Civil, que disciplina a resolução por onerosidade excessiva superveniente, tampouco prospera a alegação. O dispositivo exige que a prestação de uma das partes se torne excessivamente onerosa em razão de acontecimento extraordinário e imprevisível, o que não é o caso. A licença de uso foi contratada a um valor fixo mensal de R$ 14.088,39, em condições conhecidas e aceitas pela notificante no ato da assinatura, sem que tenha havido qualquer alteração das circunstâncias econômicas do contrato que justifique a aplicação da cláusula resolutiva por onerosidade excessiva. O simples fato de a implantação ter se prolongado além do inicialmente esperado, parcialmente por razões imputáveis à própria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>, não configura o suporte fático do art. 478.</w:t>
      </w:r>
    </w:p>
    <w:p w14:paraId="00000034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35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registra ainda que a própria notificante declarou que efetuará o pagamento da fatura de maio de 2026, o que confirma que, até a data desta notificação, a licença estava sendo utilizada e disponibilizada regularmente, afastando a tese de inutilidade absoluta do sistema e reforçando a existência de relação contratual válida e em vigor.</w:t>
      </w:r>
    </w:p>
    <w:p w14:paraId="00000037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38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Por fim,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não reconhece a resolução unilateral da Proposta Comercial de Licença de Uso pretendida pela notificante, tampouco aceita como válidos os fundamentos </w:t>
      </w:r>
      <w:r>
        <w:rPr>
          <w:rFonts w:ascii="Roboto" w:eastAsia="Roboto" w:hAnsi="Roboto" w:cs="Roboto"/>
          <w:color w:val="2E3C4F"/>
          <w:sz w:val="24"/>
          <w:szCs w:val="24"/>
        </w:rPr>
        <w:lastRenderedPageBreak/>
        <w:t xml:space="preserve">jurídicos invocados para tanto. O prazo de cinco dias fixado na notificação é manifestamente desproporcional à complexidade da matéria e à seriedade das consequências pleiteadas, razão pela qual a presente resposta, entregue dentro de prazo contratual avençado, representa o posicionamento definitivo e fundamentado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sobre todos os pontos levantados.</w:t>
      </w:r>
    </w:p>
    <w:p w14:paraId="00000039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3B" w14:textId="77777777" w:rsidR="00657DFE" w:rsidRDefault="00000000">
      <w:pPr>
        <w:widowControl w:val="0"/>
        <w:jc w:val="center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Considerações Finais e Proposta de Solução</w:t>
      </w:r>
    </w:p>
    <w:p w14:paraId="0000003C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3E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rejeita os pedidos formulados na notificação extrajudicial nos termos em que apresentados, por não encontrarem amparo fático nem jurídico nas circunstâncias do caso. O histórico do projeto demonstra que os serviços foram prestados com dedicação e que a fase operacional não foi atingida no prazo esperado, ao menos em parte, por fatores relacionados à própria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, o que afasta qualquer reconhecimento de inadimplemento exclusivo por parte da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 Jiva</w:t>
      </w:r>
      <w:r>
        <w:rPr>
          <w:rFonts w:ascii="Roboto" w:eastAsia="Roboto" w:hAnsi="Roboto" w:cs="Roboto"/>
          <w:color w:val="2E3C4F"/>
          <w:sz w:val="24"/>
          <w:szCs w:val="24"/>
        </w:rPr>
        <w:t>.</w:t>
      </w:r>
    </w:p>
    <w:p w14:paraId="00000040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41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Não obstante,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reitera seu compromisso com a satisfação de seus clientes e com a resolução construtiva de situações como a presente. Nesse sentido, a equipe responsável pelo projeto está em contato com 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BUQ Care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para o agendamento de reunião executiva com o objetivo de avaliar o cenário atual, identificar os pontos pendentes e definir um plano de ação concreto para que o sistema atinja plena operacionalidade no menor prazo possível.</w:t>
      </w:r>
    </w:p>
    <w:p w14:paraId="00000042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44" w14:textId="77777777" w:rsidR="00657DFE" w:rsidRDefault="00000000">
      <w:pPr>
        <w:widowControl w:val="0"/>
        <w:jc w:val="both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color w:val="2E3C4F"/>
          <w:sz w:val="24"/>
          <w:szCs w:val="24"/>
        </w:rPr>
        <w:t xml:space="preserve">A </w:t>
      </w: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</w:t>
      </w:r>
      <w:r>
        <w:rPr>
          <w:rFonts w:ascii="Roboto" w:eastAsia="Roboto" w:hAnsi="Roboto" w:cs="Roboto"/>
          <w:color w:val="2E3C4F"/>
          <w:sz w:val="24"/>
          <w:szCs w:val="24"/>
        </w:rPr>
        <w:t xml:space="preserve"> permanece à disposição para o diálogo e para encontrar, de forma colaborativa, a melhor solução para ambas as partes, preservando a relação contratual e os investimentos já realizados.</w:t>
      </w:r>
    </w:p>
    <w:p w14:paraId="00000045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46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47" w14:textId="77777777" w:rsidR="00657DFE" w:rsidRDefault="00000000">
      <w:pPr>
        <w:widowControl w:val="0"/>
        <w:jc w:val="center"/>
        <w:rPr>
          <w:rFonts w:ascii="Roboto" w:eastAsia="Roboto" w:hAnsi="Roboto" w:cs="Roboto"/>
          <w:color w:val="2E3C4F"/>
          <w:sz w:val="24"/>
          <w:szCs w:val="24"/>
        </w:rPr>
      </w:pPr>
      <w:r>
        <w:rPr>
          <w:rFonts w:ascii="Roboto" w:eastAsia="Roboto" w:hAnsi="Roboto" w:cs="Roboto"/>
          <w:b/>
          <w:bCs/>
          <w:color w:val="2E3C4F"/>
          <w:sz w:val="24"/>
          <w:szCs w:val="24"/>
        </w:rPr>
        <w:t>SANKHYA S.A.</w:t>
      </w:r>
    </w:p>
    <w:p w14:paraId="00000048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p w14:paraId="00000049" w14:textId="77777777" w:rsidR="00657DFE" w:rsidRDefault="00657DFE">
      <w:pPr>
        <w:widowControl w:val="0"/>
        <w:rPr>
          <w:rFonts w:ascii="Roboto" w:eastAsia="Roboto" w:hAnsi="Roboto" w:cs="Roboto"/>
          <w:color w:val="2E3C4F"/>
          <w:sz w:val="24"/>
          <w:szCs w:val="24"/>
        </w:rPr>
      </w:pPr>
    </w:p>
    <w:sectPr w:rsidR="00657DFE">
      <w:headerReference w:type="default" r:id="rId6"/>
      <w:footerReference w:type="default" r:id="rId7"/>
      <w:headerReference w:type="first" r:id="rId8"/>
      <w:pgSz w:w="11906" w:h="16838"/>
      <w:pgMar w:top="1700" w:right="1133" w:bottom="1417" w:left="1133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9111" w14:textId="77777777" w:rsidR="009339E1" w:rsidRDefault="009339E1">
      <w:pPr>
        <w:spacing w:line="240" w:lineRule="auto"/>
      </w:pPr>
      <w:r>
        <w:separator/>
      </w:r>
    </w:p>
  </w:endnote>
  <w:endnote w:type="continuationSeparator" w:id="0">
    <w:p w14:paraId="08BADE37" w14:textId="77777777" w:rsidR="009339E1" w:rsidRDefault="00933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4DD5EE8-6116-46D9-970C-76C073235660}"/>
    <w:embedBold r:id="rId2" w:fontKey="{947581FF-6688-4548-9616-A8AA7B3BD1C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47EB97D1-F45C-45B2-812F-FE471739CF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B451BD8-DE0C-4B59-8BE4-9C91D524A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DB0418-54A2-4D1D-8A45-918BDACBAD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07E0" w14:textId="77777777" w:rsidR="006605DA" w:rsidRDefault="006605DA">
    <w:pPr>
      <w:ind w:left="-1133" w:right="-11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A4A8" w14:textId="77777777" w:rsidR="009339E1" w:rsidRDefault="009339E1">
      <w:pPr>
        <w:spacing w:line="240" w:lineRule="auto"/>
      </w:pPr>
      <w:r>
        <w:separator/>
      </w:r>
    </w:p>
  </w:footnote>
  <w:footnote w:type="continuationSeparator" w:id="0">
    <w:p w14:paraId="13FEF16B" w14:textId="77777777" w:rsidR="009339E1" w:rsidRDefault="009339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7A58" w14:textId="77777777" w:rsidR="006605DA" w:rsidRDefault="00000000">
    <w:pPr>
      <w:spacing w:line="240" w:lineRule="auto"/>
      <w:jc w:val="right"/>
      <w:rPr>
        <w:rFonts w:ascii="Roboto" w:eastAsia="Roboto" w:hAnsi="Roboto" w:cs="Roboto"/>
        <w:color w:val="2E3C4F"/>
        <w:shd w:val="clear" w:color="auto" w:fill="2E3C4F"/>
      </w:rPr>
    </w:pPr>
    <w:r>
      <w:rPr>
        <w:rFonts w:ascii="Montserrat" w:eastAsia="Montserrat" w:hAnsi="Montserrat" w:cs="Montserrat"/>
        <w:color w:val="2E3C4F"/>
      </w:rPr>
      <w:pict w14:anchorId="48467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481.9pt;height:428.3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  <w:p w14:paraId="6BBB2CAD" w14:textId="77777777" w:rsidR="006605DA" w:rsidRDefault="006605DA">
    <w:pPr>
      <w:spacing w:line="240" w:lineRule="auto"/>
      <w:jc w:val="right"/>
      <w:rPr>
        <w:rFonts w:ascii="Roboto" w:eastAsia="Roboto" w:hAnsi="Roboto" w:cs="Roboto"/>
        <w:color w:val="2E3C4F"/>
        <w:shd w:val="clear" w:color="auto" w:fill="2E3C4F"/>
      </w:rPr>
    </w:pPr>
  </w:p>
  <w:p w14:paraId="06ADD739" w14:textId="77777777" w:rsidR="006605DA" w:rsidRDefault="006605DA">
    <w:pPr>
      <w:spacing w:line="240" w:lineRule="auto"/>
      <w:jc w:val="right"/>
      <w:rPr>
        <w:rFonts w:ascii="Roboto" w:eastAsia="Roboto" w:hAnsi="Roboto" w:cs="Roboto"/>
        <w:color w:val="2E3C4F"/>
        <w:shd w:val="clear" w:color="auto" w:fill="2E3C4F"/>
      </w:rPr>
    </w:pPr>
  </w:p>
  <w:p w14:paraId="562656A2" w14:textId="77777777" w:rsidR="006605DA" w:rsidRDefault="006605DA">
    <w:pPr>
      <w:spacing w:line="240" w:lineRule="auto"/>
      <w:jc w:val="right"/>
      <w:rPr>
        <w:rFonts w:ascii="Roboto" w:eastAsia="Roboto" w:hAnsi="Roboto" w:cs="Roboto"/>
        <w:color w:val="2E3C4F"/>
        <w:shd w:val="clear" w:color="auto" w:fill="2E3C4F"/>
      </w:rPr>
    </w:pPr>
  </w:p>
  <w:p w14:paraId="17D67625" w14:textId="77777777" w:rsidR="006605DA" w:rsidRDefault="006605DA">
    <w:pPr>
      <w:spacing w:line="240" w:lineRule="auto"/>
      <w:jc w:val="right"/>
      <w:rPr>
        <w:rFonts w:ascii="Roboto" w:eastAsia="Roboto" w:hAnsi="Roboto" w:cs="Roboto"/>
        <w:b/>
        <w:bCs/>
        <w:color w:val="2E3C4F"/>
        <w:shd w:val="clear" w:color="auto" w:fill="2E3C4F"/>
      </w:rPr>
    </w:pPr>
  </w:p>
  <w:p w14:paraId="197F357F" w14:textId="77777777" w:rsidR="006605DA" w:rsidRDefault="006605DA">
    <w:pPr>
      <w:spacing w:line="240" w:lineRule="auto"/>
      <w:jc w:val="right"/>
      <w:rPr>
        <w:rFonts w:ascii="Roboto" w:eastAsia="Roboto" w:hAnsi="Roboto" w:cs="Roboto"/>
        <w:b/>
        <w:bCs/>
        <w:color w:val="2E3C4F"/>
        <w:shd w:val="clear" w:color="auto" w:fill="2E3C4F"/>
      </w:rPr>
    </w:pPr>
  </w:p>
  <w:p w14:paraId="27886C86" w14:textId="77777777" w:rsidR="006605DA" w:rsidRDefault="006605DA">
    <w:pPr>
      <w:widowControl w:val="0"/>
      <w:ind w:left="-425" w:right="-432"/>
      <w:jc w:val="right"/>
      <w:rPr>
        <w:rFonts w:ascii="Roboto" w:eastAsia="Roboto" w:hAnsi="Roboto" w:cs="Roboto"/>
        <w:b/>
        <w:bCs/>
        <w:color w:val="2E3C4F"/>
        <w:sz w:val="20"/>
        <w:szCs w:val="20"/>
      </w:rPr>
    </w:pPr>
  </w:p>
  <w:p w14:paraId="37B826B3" w14:textId="77777777" w:rsidR="006605DA" w:rsidRDefault="00000000">
    <w:pPr>
      <w:spacing w:after="200" w:line="240" w:lineRule="auto"/>
      <w:ind w:right="-432"/>
      <w:jc w:val="center"/>
      <w:rPr>
        <w:rFonts w:ascii="Roboto" w:eastAsia="Roboto" w:hAnsi="Roboto" w:cs="Roboto"/>
        <w:shd w:val="clear" w:color="auto" w:fill="2E3C4F"/>
      </w:rPr>
    </w:pPr>
    <w:r>
      <w:rPr>
        <w:rFonts w:ascii="Roboto" w:eastAsia="Roboto" w:hAnsi="Roboto" w:cs="Roboto"/>
        <w:b/>
        <w:bCs/>
        <w:color w:val="2E3C4F"/>
        <w:sz w:val="32"/>
        <w:szCs w:val="32"/>
      </w:rPr>
      <w:t>RESPOSTA À NOTIFICAÇÃO EXTRAJUDICIAL</w:t>
    </w:r>
    <w:r>
      <w:rPr>
        <w:rFonts w:ascii="Roboto" w:eastAsia="Roboto" w:hAnsi="Roboto" w:cs="Roboto"/>
        <w:noProof/>
        <w:shd w:val="clear" w:color="auto" w:fill="2E3C4F"/>
      </w:rPr>
      <w:drawing>
        <wp:anchor distT="114300" distB="114300" distL="114300" distR="114300" simplePos="0" relativeHeight="251656192" behindDoc="1" locked="0" layoutInCell="1" hidden="0" allowOverlap="1" wp14:anchorId="5D8A0D77" wp14:editId="143366A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917" cy="156686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7917" cy="1566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A075" w14:textId="77777777" w:rsidR="006605DA" w:rsidRDefault="00000000">
    <w:r>
      <w:pict w14:anchorId="12F5A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81.9pt;height:428.3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anchor distT="0" distB="0" distL="0" distR="0" simplePos="0" relativeHeight="251657216" behindDoc="0" locked="0" layoutInCell="1" hidden="0" allowOverlap="1" wp14:anchorId="763AB115" wp14:editId="44A86019">
          <wp:simplePos x="0" y="0"/>
          <wp:positionH relativeFrom="column">
            <wp:posOffset>-1095374</wp:posOffset>
          </wp:positionH>
          <wp:positionV relativeFrom="paragraph">
            <wp:posOffset>-66674</wp:posOffset>
          </wp:positionV>
          <wp:extent cx="7582988" cy="8666271"/>
          <wp:effectExtent l="0" t="0" r="0" b="0"/>
          <wp:wrapTopAndBottom distT="0" distB="0"/>
          <wp:docPr id="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2988" cy="86662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5DA"/>
    <w:rsid w:val="001C6003"/>
    <w:rsid w:val="003E5CD3"/>
    <w:rsid w:val="00657DFE"/>
    <w:rsid w:val="006605DA"/>
    <w:rsid w:val="009339E1"/>
    <w:rsid w:val="00A6611A"/>
    <w:rsid w:val="00BB5D18"/>
    <w:rsid w:val="00DA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86E51"/>
  <w15:docId w15:val="{9373AB75-64B6-47F8-85AB-E954A636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BB5D1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5D18"/>
  </w:style>
  <w:style w:type="paragraph" w:styleId="Rodap">
    <w:name w:val="footer"/>
    <w:basedOn w:val="Normal"/>
    <w:link w:val="RodapChar"/>
    <w:uiPriority w:val="99"/>
    <w:unhideWhenUsed/>
    <w:rsid w:val="00BB5D1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5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1398</Words>
  <Characters>7555</Characters>
  <Application>Microsoft Office Word</Application>
  <DocSecurity>0</DocSecurity>
  <Lines>62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Eduardo Silva Sousa</dc:creator>
  <cp:lastModifiedBy>Vinicius Eduardo Silva Sousa</cp:lastModifiedBy>
  <cp:revision>3</cp:revision>
  <dcterms:created xsi:type="dcterms:W3CDTF">2026-06-21T16:45:00Z</dcterms:created>
  <dcterms:modified xsi:type="dcterms:W3CDTF">2026-06-21T18:57:00Z</dcterms:modified>
</cp:coreProperties>
</file>