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4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b365d"/>
          <w:sz w:val="48"/>
          <w:szCs w:val="48"/>
          <w:rtl w:val="0"/>
        </w:rPr>
        <w:t xml:space="preserve">GUIA DE DESENVOLVIMENTO: TRABALHO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a777a"/>
          <w:sz w:val="26"/>
          <w:szCs w:val="26"/>
          <w:rtl w:val="0"/>
        </w:rPr>
        <w:t xml:space="preserve">Sistema de Recomendação de Filmes Escalável com Docker Compose e Neo4j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b365d"/>
          <w:sz w:val="36"/>
          <w:szCs w:val="36"/>
          <w:rtl w:val="0"/>
        </w:rPr>
        <w:t xml:space="preserve">1. Proposta do Projeto e Alinhamento de Big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Este documento serve como roteiro técnico completo para a execução e documentação do projeto final. O tema selecionado consiste num Sistema de Recomendação de Filmes baseado em Grafos, projetado para demonstrar competências em arquitetura orientada a microsserviços, modelagem NoSQL e análise rigorosa de desempenho.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777a"/>
          <w:sz w:val="28"/>
          <w:szCs w:val="28"/>
          <w:rtl w:val="0"/>
        </w:rPr>
        <w:t xml:space="preserve">Perguntas da Primeira Entrega (Respondidas)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c3e50"/>
          <w:sz w:val="22"/>
          <w:szCs w:val="22"/>
          <w:rtl w:val="0"/>
        </w:rPr>
        <w:t xml:space="preserve">• Fonte de Dados: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Dataset MovieLens 25M (ou superior). Contém mais de 25 milhões de classificações e tags aplicadas a 62.000 filmes por 162.000 utilizadores. Disponível publicamente pelo GroupLens da Universidade de Minnesota.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c3e50"/>
          <w:sz w:val="22"/>
          <w:szCs w:val="22"/>
          <w:rtl w:val="0"/>
        </w:rPr>
        <w:t xml:space="preserve">• Processamento Proposto: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O pipeline executa a extração e limpeza dos dados brutos (CSV), modelagem e injeção estruturada em nós e arestas relacionais dentro do Neo4j, e exposição de algoritmos de filtragem colaborativa via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c3e50"/>
          <w:sz w:val="22"/>
          <w:szCs w:val="22"/>
          <w:rtl w:val="0"/>
        </w:rPr>
        <w:t xml:space="preserve">• Tipo de Processamento: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Híbrido. Batch (lote) para a ingestão massiva de dados históricos e Graph (Grafos) para a execução de travessias síncronas de caminhos relacionais de alta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777a"/>
          <w:sz w:val="28"/>
          <w:szCs w:val="28"/>
          <w:rtl w:val="0"/>
        </w:rPr>
        <w:t xml:space="preserve">A Justificativa de Big Data (Os 3 Vs)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Volume: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O conjunto de dados brutos excede o limite regulamentar de 1GB. Após a indexação e criação de relacionamentos em memória, a pegada operacional exige estratégias explícitas de paginação e gestão de heap de 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Velocidade: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Em sistemas modernos de streaming, a recomendação não pode depender de varreduras completas no disco. A arquitetura demonstra como responder a requisições com latência submilisegundo sob carga concorrente.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Variedade / Complexidade: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A estrutura interconectada de utilizador-avaliação-filme-tag gera uma explosão combinatória inviável para bancos relacionais tradicionais (SQL JOINs), justificando a index-free adjacency do Neo4j.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b365d"/>
          <w:sz w:val="36"/>
          <w:szCs w:val="36"/>
          <w:rtl w:val="0"/>
        </w:rPr>
        <w:t xml:space="preserve">2. Arquitetura da Solução (Docker Compose)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="276" w:lineRule="auto"/>
        <w:rPr>
          <w:rFonts w:ascii="Calibri" w:cs="Calibri" w:eastAsia="Calibri" w:hAnsi="Calibri"/>
          <w:b w:val="0"/>
          <w:bCs w:val="0"/>
          <w:i w:val="0"/>
          <w:iCs w:val="0"/>
          <w:color w:val="2c3e5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A infraestrutura será completamente isolada e orquestrada utilizando o Docker Compose, garantindo a portabilidade e reprodutibilidade do ambiente.</w:t>
      </w:r>
    </w:p>
    <w:p w:rsidR="00000000" w:rsidDel="00000000" w:rsidP="00000000" w:rsidRDefault="00000000" w:rsidRPr="00000000" w14:paraId="0000000F">
      <w:pPr>
        <w:spacing w:after="120" w:before="0" w:line="276" w:lineRule="auto"/>
        <w:rPr>
          <w:rFonts w:ascii="Calibri" w:cs="Calibri" w:eastAsia="Calibri" w:hAnsi="Calibri"/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="276" w:lineRule="auto"/>
        <w:rPr>
          <w:rFonts w:ascii="Calibri" w:cs="Calibri" w:eastAsia="Calibri" w:hAnsi="Calibri"/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3120"/>
        <w:gridCol w:w="3135"/>
        <w:gridCol w:w="3105"/>
        <w:tblGridChange w:id="0">
          <w:tblGrid>
            <w:gridCol w:w="3120"/>
            <w:gridCol w:w="3135"/>
            <w:gridCol w:w="3105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Papel na Arquitetura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3e50"/>
                <w:sz w:val="21"/>
                <w:szCs w:val="21"/>
                <w:rtl w:val="0"/>
              </w:rPr>
              <w:t xml:space="preserve">db-neo4j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3e50"/>
                <w:sz w:val="21"/>
                <w:szCs w:val="21"/>
                <w:rtl w:val="0"/>
              </w:rPr>
              <w:t xml:space="preserve">Neo4j 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3e50"/>
                <w:sz w:val="21"/>
                <w:szCs w:val="21"/>
                <w:rtl w:val="0"/>
              </w:rPr>
              <w:t xml:space="preserve">Armazenamento do grafo de conhecimento. Executa as queries Cypher para encontrar padrões de recomendação.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3e50"/>
                <w:sz w:val="21"/>
                <w:szCs w:val="21"/>
                <w:rtl w:val="0"/>
              </w:rPr>
              <w:t xml:space="preserve">api-gateway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3e50"/>
                <w:sz w:val="21"/>
                <w:szCs w:val="21"/>
                <w:rtl w:val="0"/>
              </w:rPr>
              <w:t xml:space="preserve">Node.js (Express) ou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3e50"/>
                <w:sz w:val="21"/>
                <w:szCs w:val="21"/>
                <w:rtl w:val="0"/>
              </w:rPr>
              <w:t xml:space="preserve">Fornece endpoints REST para o cliente. Comunica com o Neo4j usando drivers oficiais otimizados.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3e50"/>
                <w:sz w:val="21"/>
                <w:szCs w:val="21"/>
                <w:rtl w:val="0"/>
              </w:rPr>
              <w:t xml:space="preserve">injector-job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3e50"/>
                <w:sz w:val="21"/>
                <w:szCs w:val="21"/>
                <w:rtl w:val="0"/>
              </w:rPr>
              <w:t xml:space="preserve">Python / Scripts dedicados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c3e50"/>
                <w:sz w:val="21"/>
                <w:szCs w:val="21"/>
                <w:rtl w:val="0"/>
              </w:rPr>
              <w:t xml:space="preserve">Contentor efémero que lê os CSVs montados por volume e povoa o banco na primeira inicialização.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b365d"/>
          <w:sz w:val="36"/>
          <w:szCs w:val="36"/>
          <w:rtl w:val="0"/>
        </w:rPr>
        <w:t xml:space="preserve">3. Estratégia de Implementação Passo a Passo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777a"/>
          <w:sz w:val="28"/>
          <w:szCs w:val="28"/>
          <w:rtl w:val="0"/>
        </w:rPr>
        <w:t xml:space="preserve">Fase 1: Preparação e Engenharia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Download e Estruturação: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Baixar o dataset MovieLens 25M e mapear os ficheiros 'movies.csv', 'ratings.csv' e 'tags.csv'.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Mapeamento do Grafo: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Definir os Nós (User, Movie, Genre) e as Arestas (:RATED {rating: float}, :BELONGS_TO).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777a"/>
          <w:sz w:val="28"/>
          <w:szCs w:val="28"/>
          <w:rtl w:val="0"/>
        </w:rPr>
        <w:t xml:space="preserve">Fase 2: Escrita do Ambiente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O ficheiro `docker-compose.yml` deve expor as portas do Neo4j (7474 para painel web, 7687 para conexão Bolt) e da API (3000). Use volumes para garantir a persistência dos dados do Neo4j e evitar re-ingestão a cada reinicialização.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777a"/>
          <w:sz w:val="28"/>
          <w:szCs w:val="28"/>
          <w:rtl w:val="0"/>
        </w:rPr>
        <w:t xml:space="preserve">Fase 3: Desenvolvimento da API de Recomendação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Exemplo de query Cypher central a ser executada pela API para Recomendação Baseada em Itens Semelhantes: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65d" w:space="0" w:sz="24" w:val="single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140.0" w:type="dxa"/>
              <w:left w:w="20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c3e50"/>
                <w:sz w:val="21"/>
                <w:szCs w:val="21"/>
                <w:rtl w:val="0"/>
              </w:rPr>
              <w:t xml:space="preserve">MATCH (u:User {id: $userId})-[r1:RATED]-&gt;(m1:Movie)-[g:BELONGS_TO]-&gt;(genre:Genre)</w:t>
              <w:br w:type="textWrapping"/>
              <w:t xml:space="preserve">MATCH (m2:Movie)-[:BELONGS_TO]-&gt;(genre)</w:t>
              <w:br w:type="textWrapping"/>
              <w:t xml:space="preserve">WHERE NOT (u)-[:RATED]-&gt;(m2) AND r1.rating &gt;= 4.0</w:t>
              <w:br w:type="textWrapping"/>
              <w:t xml:space="preserve">RETURN m2.title, count(*) AS ForçaRecomendação</w:t>
              <w:br w:type="textWrapping"/>
              <w:t xml:space="preserve">ORDER BY ForçaRecomendação DESC LIMIT 10;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b365d"/>
          <w:sz w:val="36"/>
          <w:szCs w:val="36"/>
          <w:rtl w:val="0"/>
        </w:rPr>
        <w:t xml:space="preserve">4. Plano de Testes de Performance e Estatística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O critério mais rigoroso de avaliação do trabalho final é a validação experimental com análise estatística robusta (mínimo de 3 repetições).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777a"/>
          <w:sz w:val="28"/>
          <w:szCs w:val="28"/>
          <w:rtl w:val="0"/>
        </w:rPr>
        <w:t xml:space="preserve">Protocolo de Execução dos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Ferramenta: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Utilizar o K6 (recomendado pela leveza em contêineres) ou Apache Benchmark (ab).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Configuração do Cenário: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Simular 50 utilizadores concorrentes realizando requisições de recomendação aleatórias por um período fixo de 2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Repetições Obrigatórias: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Executar o teste exatamente 3 vezes sob as mesmas condições de hardware, limpando o cache de memória do contentor se necessário.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777a"/>
          <w:sz w:val="28"/>
          <w:szCs w:val="28"/>
          <w:rtl w:val="0"/>
        </w:rPr>
        <w:t xml:space="preserve">Métricas a Monitorizar e Reportar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Latência (Tempo de Resposta):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Média (Mean) e Desvio Padrão (Standard Deviation) em milissegundos.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Throughput (Vazão):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Número de requisições processadas com sucesso por segundo (RPS).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65d" w:space="0" w:sz="24" w:val="single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140.0" w:type="dxa"/>
              <w:left w:w="20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c3e50"/>
                <w:sz w:val="21"/>
                <w:szCs w:val="21"/>
                <w:rtl w:val="0"/>
              </w:rPr>
              <w:t xml:space="preserve">Nota de Rigor: O desvio padrão indicará a estabilidade da sua arquitetura sob stress. Valores altos de desvio padrão sugerem estrangulamento de recursos (ex: falta de memória atribuída ao contêiner do Neo4j).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b365d"/>
          <w:sz w:val="36"/>
          <w:szCs w:val="36"/>
          <w:rtl w:val="0"/>
        </w:rPr>
        <w:t xml:space="preserve">5. Estrutura do Relatório Final (GitHub)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c3e50"/>
          <w:sz w:val="22"/>
          <w:szCs w:val="22"/>
          <w:rtl w:val="0"/>
        </w:rPr>
        <w:t xml:space="preserve">Para garantir a nota máxima, o repositório público do GitHub deve conter um ficheiro `README.md` agindo como o relatório oficial, dividido 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1. Introdução e Motivação: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Contextualização do problema de recomendação na era do Big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2. Arquitetura e Decisões de Projeto: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Explicação do desenho do Grafo e do ficheiro docker-compose.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3. Guia de Execução: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Comandos exatos para o avaliador executar (ex: `docker compose up --build`).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4. Resultados Experimentais: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c3e50"/>
          <w:sz w:val="22"/>
          <w:szCs w:val="22"/>
          <w:u w:val="none"/>
          <w:shd w:fill="auto" w:val="clear"/>
          <w:vertAlign w:val="baseline"/>
          <w:rtl w:val="0"/>
        </w:rPr>
        <w:t xml:space="preserve">Tabelas e gráficos contendo os resultados das 3 rodadas, os cálculos de média e desvio padrão, e a devida interpretação dos dados técnicos.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4n9NR2U+gv/PFnUPH5gE0f6WEA==">CgMxLjA4AHIhMVROSkhvN0w2bXIzODd3cWNnV1pUX2J1XzdUbUx2bGMz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