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Simples</w:t>
      </w:r>
      <w:r>
        <w:t xml:space="preserve"> </w:t>
      </w:r>
      <w:r>
        <w:t xml:space="preserve">Nacional</w:t>
      </w:r>
      <w:r>
        <w:t xml:space="preserve"> </w:t>
      </w:r>
      <w:r>
        <w:t xml:space="preserve">e</w:t>
      </w:r>
      <w:r>
        <w:t xml:space="preserve"> </w:t>
      </w:r>
      <w:r>
        <w:t xml:space="preserve">a</w:t>
      </w:r>
      <w:r>
        <w:t xml:space="preserve"> </w:t>
      </w:r>
      <w:r>
        <w:t xml:space="preserve">Reforma</w:t>
      </w:r>
      <w:r>
        <w:t xml:space="preserve"> </w:t>
      </w:r>
      <w:r>
        <w:t xml:space="preserve">Tributária:</w:t>
      </w:r>
      <w:r>
        <w:t xml:space="preserve"> </w:t>
      </w:r>
      <w:r>
        <w:t xml:space="preserve">o</w:t>
      </w:r>
      <w:r>
        <w:t xml:space="preserve"> </w:t>
      </w:r>
      <w:r>
        <w:t xml:space="preserve">prazo</w:t>
      </w:r>
      <w:r>
        <w:t xml:space="preserve"> </w:t>
      </w:r>
      <w:r>
        <w:t xml:space="preserve">de</w:t>
      </w:r>
      <w:r>
        <w:t xml:space="preserve"> </w:t>
      </w:r>
      <w:r>
        <w:t xml:space="preserve">30</w:t>
      </w:r>
      <w:r>
        <w:t xml:space="preserve"> </w:t>
      </w:r>
      <w:r>
        <w:t xml:space="preserve">de</w:t>
      </w:r>
      <w:r>
        <w:t xml:space="preserve"> </w:t>
      </w:r>
      <w:r>
        <w:t xml:space="preserve">outubro</w:t>
      </w:r>
      <w:r>
        <w:t xml:space="preserve"> </w:t>
      </w:r>
      <w:r>
        <w:t xml:space="preserve">para</w:t>
      </w:r>
      <w:r>
        <w:t xml:space="preserve"> </w:t>
      </w:r>
      <w:r>
        <w:t xml:space="preserve">optar</w:t>
      </w:r>
      <w:r>
        <w:t xml:space="preserve"> </w:t>
      </w:r>
      <w:r>
        <w:t xml:space="preserve">pelo</w:t>
      </w:r>
      <w:r>
        <w:t xml:space="preserve"> </w:t>
      </w:r>
      <w:r>
        <w:t xml:space="preserve">regime</w:t>
      </w:r>
      <w:r>
        <w:t xml:space="preserve"> </w:t>
      </w:r>
      <w:r>
        <w:t xml:space="preserve">regular</w:t>
      </w:r>
      <w:r>
        <w:t xml:space="preserve"> </w:t>
      </w:r>
      <w:r>
        <w:t xml:space="preserve">de</w:t>
      </w:r>
      <w:r>
        <w:t xml:space="preserve"> </w:t>
      </w:r>
      <w:r>
        <w:t xml:space="preserve">IBS</w:t>
      </w:r>
      <w:r>
        <w:t xml:space="preserve"> </w:t>
      </w:r>
      <w:r>
        <w:t xml:space="preserve">e</w:t>
      </w:r>
      <w:r>
        <w:t xml:space="preserve"> </w:t>
      </w:r>
      <w:r>
        <w:t xml:space="preserve">CBS</w:t>
      </w:r>
    </w:p>
    <w:p>
      <w:pPr>
        <w:pStyle w:val="FirstParagraph"/>
      </w:pPr>
      <w:r>
        <w:rPr>
          <w:bCs/>
          <w:b/>
        </w:rPr>
        <w:t xml:space="preserve">Resumo:</w:t>
      </w:r>
      <w:r>
        <w:t xml:space="preserve"> </w:t>
      </w:r>
      <w:r>
        <w:t xml:space="preserve">até 30 de outubro de 2026, empresas do Simples Nacional podem optar por recolher IBS e CBS fora do regime simplificado, com efeitos a partir de 1º de janeiro de 2027. A escolha mexe com créditos, preço e competitividade. Não é decisão para a última hora.</w:t>
      </w:r>
    </w:p>
    <w:bookmarkStart w:id="20" w:name="o-que-mudou"/>
    <w:p>
      <w:pPr>
        <w:pStyle w:val="Heading2"/>
      </w:pPr>
      <w:r>
        <w:t xml:space="preserve">O que mudou</w:t>
      </w:r>
    </w:p>
    <w:p>
      <w:pPr>
        <w:pStyle w:val="FirstParagraph"/>
      </w:pPr>
      <w:r>
        <w:t xml:space="preserve">A Resolução CGSN nº 194/2026, publicada no DOU em 28 de setembro de 2026, alterou os prazos de 2027 para o Simples Nacional: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Ingresso no Simples:</w:t>
      </w:r>
      <w:r>
        <w:t xml:space="preserve"> </w:t>
      </w:r>
      <w:r>
        <w:t xml:space="preserve">prazo prorrogado de 30 de setembro para</w:t>
      </w:r>
      <w:r>
        <w:t xml:space="preserve"> </w:t>
      </w:r>
      <w:r>
        <w:rPr>
          <w:bCs/>
          <w:b/>
        </w:rPr>
        <w:t xml:space="preserve">15 de outubro de 2026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Opção pelo regime regular de IBS e CBS:</w:t>
      </w:r>
      <w:r>
        <w:t xml:space="preserve"> </w:t>
      </w:r>
      <w:r>
        <w:t xml:space="preserve">até</w:t>
      </w:r>
      <w:r>
        <w:t xml:space="preserve"> </w:t>
      </w:r>
      <w:r>
        <w:rPr>
          <w:bCs/>
          <w:b/>
        </w:rPr>
        <w:t xml:space="preserve">30 de outubro de 2026</w:t>
      </w:r>
      <w:r>
        <w:t xml:space="preserve">, por meio do Portal do Simples Nacional.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Cancelamento da opção:</w:t>
      </w:r>
      <w:r>
        <w:t xml:space="preserve"> </w:t>
      </w:r>
      <w:r>
        <w:t xml:space="preserve">janela de</w:t>
      </w:r>
      <w:r>
        <w:t xml:space="preserve"> </w:t>
      </w:r>
      <w:r>
        <w:rPr>
          <w:bCs/>
          <w:b/>
        </w:rPr>
        <w:t xml:space="preserve">3 de novembro a 20 de dezembro de 2026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Empresas recém-abertas:</w:t>
      </w:r>
      <w:r>
        <w:t xml:space="preserve"> </w:t>
      </w:r>
      <w:r>
        <w:t xml:space="preserve">a exclusão dos novos prazos passou a contar de 16 de outubro (Simples) e 31 de outubro (regime regular).</w:t>
      </w:r>
    </w:p>
    <w:p>
      <w:pPr>
        <w:pStyle w:val="FirstParagraph"/>
      </w:pPr>
      <w:r>
        <w:t xml:space="preserve">Atenção: as datas acima foram conferidas em notícias sobre a resolução. Confirme o texto oficial no Portal do Simples Nacional antes de agir.</w:t>
      </w:r>
    </w:p>
    <w:bookmarkEnd w:id="20"/>
    <w:bookmarkStart w:id="21" w:name="na-prática-o-que-a-opção-significa"/>
    <w:p>
      <w:pPr>
        <w:pStyle w:val="Heading2"/>
      </w:pPr>
      <w:r>
        <w:t xml:space="preserve">Na prática: o que a opção significa</w:t>
      </w:r>
    </w:p>
    <w:p>
      <w:pPr>
        <w:pStyle w:val="FirstParagraph"/>
      </w:pPr>
      <w:r>
        <w:t xml:space="preserve">Quem opta mantém os demais tributos no Simples, mas passa a apurar IBS e CBS pelas regras gerais, fora do DAS. A consequência central é a</w:t>
      </w:r>
      <w:r>
        <w:t xml:space="preserve"> </w:t>
      </w:r>
      <w:r>
        <w:rPr>
          <w:bCs/>
          <w:b/>
        </w:rPr>
        <w:t xml:space="preserve">geração e a transferência de créditos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t xml:space="preserve">No Simples, o cliente pessoa jurídica aproveita crédito limitado, calculado sobre a alíquota embutida no DAS.</w:t>
      </w:r>
    </w:p>
    <w:p>
      <w:pPr>
        <w:numPr>
          <w:ilvl w:val="0"/>
          <w:numId w:val="1002"/>
        </w:numPr>
        <w:pStyle w:val="Compact"/>
      </w:pPr>
      <w:r>
        <w:t xml:space="preserve">No regime regular, o cliente pode aproveitar o crédito integral do IBS e da CBS destacados na nota.</w:t>
      </w:r>
    </w:p>
    <w:bookmarkEnd w:id="21"/>
    <w:bookmarkStart w:id="22" w:name="quando-vale-a-pena-considerar"/>
    <w:p>
      <w:pPr>
        <w:pStyle w:val="Heading2"/>
      </w:pPr>
      <w:r>
        <w:t xml:space="preserve">Quando vale a pena considerar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Perfil da empresa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 majoritariamente para pessoas jurídicas do regime regular (B2B)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Pode ganhar competitividade com o crédito integral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Vende ao consumidor final (B2C)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geral, o Simples segue mais simples e barato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 muitos insumos com crédito de IBS/CBS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potencial de recuperar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Margem apertada e estrutura administrativa enxuta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Cautela: a apuração fora do DAS aumenta obrigações acessórias</w:t>
            </w:r>
          </w:p>
        </w:tc>
      </w:tr>
    </w:tbl>
    <w:p>
      <w:pPr>
        <w:pStyle w:val="BodyText"/>
      </w:pPr>
      <w:r>
        <w:t xml:space="preserve">A tabela é uma tendência, não uma regra. Só o cálculo com os números da empresa responde.</w:t>
      </w:r>
    </w:p>
    <w:bookmarkEnd w:id="22"/>
    <w:bookmarkStart w:id="23" w:name="passos-antes-do-dia-30"/>
    <w:p>
      <w:pPr>
        <w:pStyle w:val="Heading2"/>
      </w:pPr>
      <w:r>
        <w:t xml:space="preserve">Passos antes do dia 30</w:t>
      </w:r>
    </w:p>
    <w:p>
      <w:pPr>
        <w:numPr>
          <w:ilvl w:val="0"/>
          <w:numId w:val="1003"/>
        </w:numPr>
        <w:pStyle w:val="Compact"/>
      </w:pPr>
      <w:r>
        <w:t xml:space="preserve">Levantar a composição de clientes (PJ do regime regular x consumidor final).</w:t>
      </w:r>
    </w:p>
    <w:p>
      <w:pPr>
        <w:numPr>
          <w:ilvl w:val="0"/>
          <w:numId w:val="1003"/>
        </w:numPr>
        <w:pStyle w:val="Compact"/>
      </w:pPr>
      <w:r>
        <w:t xml:space="preserve">Simular a carga de IBS/CBS no regime regular contra o custo no DAS.</w:t>
      </w:r>
    </w:p>
    <w:p>
      <w:pPr>
        <w:numPr>
          <w:ilvl w:val="0"/>
          <w:numId w:val="1003"/>
        </w:numPr>
        <w:pStyle w:val="Compact"/>
      </w:pPr>
      <w:r>
        <w:t xml:space="preserve">Avaliar o impacto no preço: o cliente que aproveita crédito integral pode aceitar pagar mais ou exigir o mesmo preço.</w:t>
      </w:r>
    </w:p>
    <w:p>
      <w:pPr>
        <w:numPr>
          <w:ilvl w:val="0"/>
          <w:numId w:val="1003"/>
        </w:numPr>
        <w:pStyle w:val="Compact"/>
      </w:pPr>
      <w:r>
        <w:t xml:space="preserve">Verificar pendências que impeçam o ingresso ou a permanência no Simples e regularizá-las no prazo.</w:t>
      </w:r>
    </w:p>
    <w:p>
      <w:pPr>
        <w:numPr>
          <w:ilvl w:val="0"/>
          <w:numId w:val="1003"/>
        </w:numPr>
        <w:pStyle w:val="Compact"/>
      </w:pPr>
      <w:r>
        <w:t xml:space="preserve">Alinhar com a contabilidade a rotina de emissão de notas e apuração.</w:t>
      </w:r>
    </w:p>
    <w:bookmarkEnd w:id="23"/>
    <w:bookmarkStart w:id="24" w:name="cuidados"/>
    <w:p>
      <w:pPr>
        <w:pStyle w:val="Heading2"/>
      </w:pPr>
      <w:r>
        <w:t xml:space="preserve">Cuidados</w:t>
      </w:r>
    </w:p>
    <w:p>
      <w:pPr>
        <w:numPr>
          <w:ilvl w:val="0"/>
          <w:numId w:val="1004"/>
        </w:numPr>
        <w:pStyle w:val="Compact"/>
      </w:pPr>
      <w:r>
        <w:t xml:space="preserve">A opção tem efeitos a partir de 1º de janeiro de 2027; há possibilidade de cancelamento apenas na janela indicada.</w:t>
      </w:r>
    </w:p>
    <w:p>
      <w:pPr>
        <w:numPr>
          <w:ilvl w:val="0"/>
          <w:numId w:val="1004"/>
        </w:numPr>
        <w:pStyle w:val="Compact"/>
      </w:pPr>
      <w:r>
        <w:t xml:space="preserve">Contratos de fornecimento de longo prazo podem precisar de revisão de preço e cláusula de repasse tributário.</w:t>
      </w:r>
    </w:p>
    <w:p>
      <w:pPr>
        <w:numPr>
          <w:ilvl w:val="0"/>
          <w:numId w:val="1004"/>
        </w:numPr>
        <w:pStyle w:val="Compact"/>
      </w:pPr>
      <w:r>
        <w:t xml:space="preserve">O período de transição segue até 2033, e as regras podem ser ajustadas por nova regulamentação.</w:t>
      </w:r>
    </w:p>
    <w:bookmarkEnd w:id="24"/>
    <w:bookmarkStart w:id="25" w:name="conclusão"/>
    <w:p>
      <w:pPr>
        <w:pStyle w:val="Heading2"/>
      </w:pPr>
      <w:r>
        <w:t xml:space="preserve">Conclusão</w:t>
      </w:r>
    </w:p>
    <w:p>
      <w:pPr>
        <w:pStyle w:val="FirstParagraph"/>
      </w:pPr>
      <w:r>
        <w:t xml:space="preserve">A decisão de 30 de outubro é estratégica: ela afeta preço, margem e relacionamento com clientes. Empresas do Simples com carteira B2B relevante devem simular os dois cenários agora.</w:t>
      </w:r>
    </w:p>
    <w:p>
      <w:pPr>
        <w:pStyle w:val="BodyText"/>
      </w:pPr>
      <w:r>
        <w:rPr>
          <w:iCs/>
          <w:i/>
        </w:rPr>
        <w:t xml:space="preserve">Este artigo tem caráter informativo e não substitui consultoria jurídica ou contábil sobre o caso concreto.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Simples Nacional e a Reforma Tributária: o prazo de 30 de outubro para optar pelo regime regular de IBS e CBS</dc:title>
  <dc:creator/>
  <cp:keywords/>
  <dcterms:created xsi:type="dcterms:W3CDTF">2026-10-23T21:42:12Z</dcterms:created>
  <dcterms:modified xsi:type="dcterms:W3CDTF">2026-10-23T21:42:12Z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