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CBS em 2027: o que a empresa precisa ajustar nos contratos e no fiscal desde já</w:t>
      </w:r>
    </w:p>
    <w:p>
      <w:r>
        <w:t>A Emenda Constitucional 132/2023 e a Lei Complementar 214/2025 definem a transição para o IVA dual. Em 2026 a CBS (0,9%) e o IBS (0,1%) circulam em fase de testes, com destaque nas notas fiscais. Em 1º de janeiro de 2027, a CBS passa a substituir o PIS e a Cofins. Para a empresa, o risco está menos na alíquota e mais na adaptação de contratos, preços e rotinas.</w:t>
      </w:r>
    </w:p>
    <w:p>
      <w:pPr>
        <w:pStyle w:val="Heading1"/>
      </w:pPr>
      <w:r>
        <w:t>1. O que muda em 2027 e depois</w:t>
      </w:r>
    </w:p>
    <w:p>
      <w:pPr>
        <w:pStyle w:val="ListBullet"/>
      </w:pPr>
      <w:r>
        <w:t>2027: CBS no lugar de PIS e Cofins, com não cumulatividade ampla baseada em crédito financeiro.</w:t>
      </w:r>
    </w:p>
    <w:p>
      <w:pPr>
        <w:pStyle w:val="ListBullet"/>
      </w:pPr>
      <w:r>
        <w:t>2029 a 2032: redução gradual de ICMS e ISS e aumento proporcional do IBS.</w:t>
      </w:r>
    </w:p>
    <w:p>
      <w:pPr>
        <w:pStyle w:val="ListBullet"/>
      </w:pPr>
      <w:r>
        <w:t>2033: extinção de ICMS e ISS, com o IBS em plena vigência.</w:t>
      </w:r>
    </w:p>
    <w:p>
      <w:r>
        <w:t>Os prazos e as regulamentações complementares seguem em atualização pela Receita Federal e pelo Comitê Gestor do IBS. Confira sempre a norma vigente antes de decidir.</w:t>
      </w:r>
    </w:p>
    <w:p>
      <w:pPr>
        <w:pStyle w:val="Heading1"/>
      </w:pPr>
      <w:r>
        <w:t>2. Contratos de longo prazo</w:t>
      </w:r>
    </w:p>
    <w:p>
      <w:r>
        <w:t>Contratos que atravessam 2027 precisam de cláusula de repasse tributário. Sem ela, quem presta o serviço ou fornece a mercadoria pode absorver sozinho a diferença de carga.</w:t>
      </w:r>
    </w:p>
    <w:p>
      <w:pPr>
        <w:pStyle w:val="ListBullet"/>
      </w:pPr>
      <w:r>
        <w:t>Cláusula de reequilíbrio econômico-financeiro em caso de mudança de tributo.</w:t>
      </w:r>
    </w:p>
    <w:p>
      <w:pPr>
        <w:pStyle w:val="ListBullet"/>
      </w:pPr>
      <w:r>
        <w:t>Definição de preço com tributos destacados ou 'por fora', de forma expressa.</w:t>
      </w:r>
    </w:p>
    <w:p>
      <w:pPr>
        <w:pStyle w:val="ListBullet"/>
      </w:pPr>
      <w:r>
        <w:t>Previsão sobre o tratamento do split payment e de eventuais retenções.</w:t>
      </w:r>
    </w:p>
    <w:p>
      <w:pPr>
        <w:pStyle w:val="Heading1"/>
      </w:pPr>
      <w:r>
        <w:t>3. Créditos e fornecedores</w:t>
      </w:r>
    </w:p>
    <w:p>
      <w:r>
        <w:t>Como o crédito dependerá do pagamento do tributo na cadeia, a regularidade fiscal do fornecedor passa a importar. Contratos de fornecimento devem prever declaração de regularidade, direito de auditoria documental e responsabilidade por glosa de crédito causada pelo fornecedor.</w:t>
      </w:r>
    </w:p>
    <w:p>
      <w:pPr>
        <w:pStyle w:val="Heading1"/>
      </w:pPr>
      <w:r>
        <w:t>4. Regime de apuração e cadastro</w:t>
      </w:r>
    </w:p>
    <w:p>
      <w:r>
        <w:t>Empresas do Simples Nacional devem avaliar, com base em suas margens e na composição de clientes, se compensa manter o regime ou apurar CBS e IBS pelo regime regular, já que clientes pessoas jurídicas podem preferir fornecedores que gerem crédito. Verifique os prazos oficiais de opção.</w:t>
      </w:r>
    </w:p>
    <w:p>
      <w:r>
        <w:t>Também é hora de revisar o cadastro de produtos e serviços (NCM, NBS), pois a classificação define alíquota, redução e crédito.</w:t>
      </w:r>
    </w:p>
    <w:p>
      <w:pPr>
        <w:pStyle w:val="Heading1"/>
      </w:pPr>
      <w:r>
        <w:t>5. Planejamento e passivo</w:t>
      </w:r>
    </w:p>
    <w:p>
      <w:r>
        <w:t>Antes da virada, vale mapear créditos de PIS e Cofins ainda não aproveitados, discussões judiciais em curso e a regra de transição aplicável a cada um. Essas teses não desaparecem com a nova lei e podem ter prazo próprio de aproveitamento.</w:t>
      </w:r>
    </w:p>
    <w:p>
      <w:pPr>
        <w:pStyle w:val="Heading1"/>
      </w:pPr>
      <w:r>
        <w:t>Conclusão</w:t>
      </w:r>
    </w:p>
    <w:p>
      <w:r>
        <w:t>A reforma exige trabalho jurídico e fiscal em conjunto: contratos, precificação, cadastro e créditos. Quem se organiza em 2026 chega a 2027 sem surpresas de caixa.</w:t>
      </w:r>
    </w:p>
    <w:p>
      <w:r>
        <w:br w:type="page"/>
      </w:r>
    </w:p>
    <w:p>
      <w:pPr>
        <w:pStyle w:val="Heading1"/>
      </w:pPr>
      <w:r>
        <w:t>Texto para LinkedIn</w:t>
      </w:r>
    </w:p>
    <w:p>
      <w:r>
        <w:t>A CBS começa a substituir PIS e Cofins em 1º de janeiro de 2027. A pergunta para o empresário é: seus contratos e preços estão preparados?</w:t>
      </w:r>
    </w:p>
    <w:p/>
    <w:p>
      <w:r>
        <w:t>No artigo, reunimos um checklist prático: cláusula de repasse tributário, reequilíbrio em contratos de longo prazo, regularidade de fornecedores para garantir crédito, escolha do regime de apuração e revisão do cadastro de produtos e serviços.</w:t>
      </w:r>
    </w:p>
    <w:p/>
    <w:p>
      <w:r>
        <w:t>Leia...: Manasses Lopes Advogados: https://www.manasseslopes.com/blog</w:t>
      </w:r>
    </w:p>
    <w:p>
      <w:r>
        <w:t>O Tributarista Minucioso: https://otributaristaminucioso.blogspot.com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