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Dívida</w:t>
      </w:r>
      <w:r>
        <w:t xml:space="preserve"> </w:t>
      </w:r>
      <w:r>
        <w:t xml:space="preserve">de</w:t>
      </w:r>
      <w:r>
        <w:t xml:space="preserve"> </w:t>
      </w:r>
      <w:r>
        <w:t xml:space="preserve">FGTS</w:t>
      </w:r>
      <w:r>
        <w:t xml:space="preserve"> </w:t>
      </w:r>
      <w:r>
        <w:t xml:space="preserve">inscrita</w:t>
      </w:r>
      <w:r>
        <w:t xml:space="preserve"> </w:t>
      </w:r>
      <w:r>
        <w:t xml:space="preserve">na</w:t>
      </w:r>
      <w:r>
        <w:t xml:space="preserve"> </w:t>
      </w:r>
      <w:r>
        <w:t xml:space="preserve">PGFN:</w:t>
      </w:r>
      <w:r>
        <w:t xml:space="preserve"> </w:t>
      </w:r>
      <w:r>
        <w:t xml:space="preserve">o</w:t>
      </w:r>
      <w:r>
        <w:t xml:space="preserve"> </w:t>
      </w:r>
      <w:r>
        <w:t xml:space="preserve">que</w:t>
      </w:r>
      <w:r>
        <w:t xml:space="preserve"> </w:t>
      </w:r>
      <w:r>
        <w:t xml:space="preserve">muda</w:t>
      </w:r>
      <w:r>
        <w:t xml:space="preserve"> </w:t>
      </w:r>
      <w:r>
        <w:t xml:space="preserve">com</w:t>
      </w:r>
      <w:r>
        <w:t xml:space="preserve"> </w:t>
      </w:r>
      <w:r>
        <w:t xml:space="preserve">o</w:t>
      </w:r>
      <w:r>
        <w:t xml:space="preserve"> </w:t>
      </w:r>
      <w:r>
        <w:t xml:space="preserve">Edital</w:t>
      </w:r>
      <w:r>
        <w:t xml:space="preserve"> </w:t>
      </w:r>
      <w:r>
        <w:t xml:space="preserve">nº</w:t>
      </w:r>
      <w:r>
        <w:t xml:space="preserve"> </w:t>
      </w:r>
      <w:r>
        <w:t xml:space="preserve">12/2026</w:t>
      </w:r>
    </w:p>
    <w:p>
      <w:pPr>
        <w:pStyle w:val="FirstParagraph"/>
      </w:pPr>
      <w:r>
        <w:t xml:space="preserve">Quem deve FGTS e contribuições da LC 110/2001 e já teve o débito inscrito em dívida ativa ganhou, desde 15 de outubro de 2026, uma janela de negociação com descontos de até 70%. O prazo vai até 29 de janeiro de 2027, às 19h.</w:t>
      </w:r>
    </w:p>
    <w:p>
      <w:pPr>
        <w:pStyle w:val="BodyText"/>
      </w:pPr>
      <w:r>
        <w:t xml:space="preserve">Mas a transação tem condições que pedem conta feita antes da adesão. Quem entra renuncia às discussões judiciais sobre o débito e assume compromissos com os trabalhadores.</w:t>
      </w:r>
    </w:p>
    <w:bookmarkStart w:id="20" w:name="o-que-é-o-edital-pgdaupgfnmf-nº-122026"/>
    <w:p>
      <w:pPr>
        <w:pStyle w:val="Heading2"/>
      </w:pPr>
      <w:r>
        <w:t xml:space="preserve">O que é o Edital PGDAU/PGFN/MF nº 12/2026</w:t>
      </w:r>
    </w:p>
    <w:p>
      <w:pPr>
        <w:pStyle w:val="FirstParagraph"/>
      </w:pPr>
      <w:r>
        <w:t xml:space="preserve">É o edital de transação por adesão que permite regularizar débitos de FGTS e das contribuições sociais da LC 110/2001 inscritos em dívida ativa. A adesão é feita pelo Portal Regularize.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Valor máximo:</w:t>
      </w:r>
      <w:r>
        <w:t xml:space="preserve"> </w:t>
      </w:r>
      <w:r>
        <w:t xml:space="preserve">R$ 45 milhões de dívida consolidada por devedor.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Prazo de adesão:</w:t>
      </w:r>
      <w:r>
        <w:t xml:space="preserve"> </w:t>
      </w:r>
      <w:r>
        <w:t xml:space="preserve">de 15/10/2026 (8h) a 29/01/2027 (19h), horário de Brasília.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Inscrições alcançadas:</w:t>
      </w:r>
      <w:r>
        <w:t xml:space="preserve"> </w:t>
      </w:r>
      <w:r>
        <w:t xml:space="preserve">em regra, as realizadas até 17/07/2026. Na modalidade de pequeno valor, até 15/10/2025.</w:t>
      </w:r>
    </w:p>
    <w:bookmarkEnd w:id="20"/>
    <w:bookmarkStart w:id="21" w:name="quais-descontos-estão-previstos"/>
    <w:p>
      <w:pPr>
        <w:pStyle w:val="Heading2"/>
      </w:pPr>
      <w:r>
        <w:t xml:space="preserve">Quais descontos estão previstos</w:t>
      </w:r>
    </w:p>
    <w:p>
      <w:pPr>
        <w:pStyle w:val="FirstParagraph"/>
      </w:pPr>
      <w:r>
        <w:t xml:space="preserve">Os descontos incidem sobre multas, juros e encargos.</w:t>
      </w:r>
      <w:r>
        <w:t xml:space="preserve"> </w:t>
      </w:r>
      <w:r>
        <w:rPr>
          <w:bCs/>
          <w:b/>
        </w:rPr>
        <w:t xml:space="preserve">Não alcançam os valores destinados aos trabalhadores.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de pagamento e débitos irrecuperáveis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100% dos acréscimos elegíveis, limitado a 65% do valor de cada inscrição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físicas, MEIs, micro e pequenas empresas, cooperativas e instituições de ensino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Pequeno valor (contribuições sociais de até 60 salários mínimos por inscrição, devidas por PF, MEI, ME e EPP)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 garantia ou carta 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desconto, com entrada de 30% a 50%</w:t>
            </w:r>
          </w:p>
        </w:tc>
      </w:tr>
    </w:tbl>
    <w:p>
      <w:pPr>
        <w:pStyle w:val="BodyText"/>
      </w:pPr>
      <w:r>
        <w:t xml:space="preserve">O parcelamento pode chegar a 120 ou 145 prestações, conforme o enquadramento. As primeiras 12 parcelas devem priorizar os valores de FGTS abrangidos pela regra de rescisão contratual.</w:t>
      </w:r>
    </w:p>
    <w:bookmarkEnd w:id="21"/>
    <w:bookmarkStart w:id="22" w:name="o-que-a-empresa-assume-ao-aderir"/>
    <w:p>
      <w:pPr>
        <w:pStyle w:val="Heading2"/>
      </w:pPr>
      <w:r>
        <w:t xml:space="preserve">O que a empresa assume ao aderir</w:t>
      </w:r>
    </w:p>
    <w:p>
      <w:pPr>
        <w:pStyle w:val="FirstParagraph"/>
      </w:pPr>
      <w:r>
        <w:t xml:space="preserve">Este é o ponto que costuma ser subestimado. A adesão exige:</w:t>
      </w:r>
    </w:p>
    <w:p>
      <w:pPr>
        <w:numPr>
          <w:ilvl w:val="0"/>
          <w:numId w:val="1002"/>
        </w:numPr>
        <w:pStyle w:val="Compact"/>
      </w:pPr>
      <w:r>
        <w:t xml:space="preserve">desistência e renúncia às discussões judiciais sobre os débitos negociados;</w:t>
      </w:r>
    </w:p>
    <w:p>
      <w:pPr>
        <w:numPr>
          <w:ilvl w:val="0"/>
          <w:numId w:val="1002"/>
        </w:numPr>
        <w:pStyle w:val="Compact"/>
      </w:pPr>
      <w:r>
        <w:t xml:space="preserve">manutenção das garantias já prestadas;</w:t>
      </w:r>
    </w:p>
    <w:p>
      <w:pPr>
        <w:numPr>
          <w:ilvl w:val="0"/>
          <w:numId w:val="1002"/>
        </w:numPr>
        <w:pStyle w:val="Compact"/>
      </w:pPr>
      <w:r>
        <w:t xml:space="preserve">individualização dos valores nas contas dos trabalhadores em até 30 dias após o primeiro pagamento.</w:t>
      </w:r>
    </w:p>
    <w:p>
      <w:pPr>
        <w:pStyle w:val="FirstParagraph"/>
      </w:pPr>
      <w:r>
        <w:t xml:space="preserve">Se a empresa discute a própria existência do débito, por exemplo prescrição, vínculo contestado ou erro de base de cálculo, a renúncia pode custar mais do que o desconto entrega.</w:t>
      </w:r>
    </w:p>
    <w:bookmarkEnd w:id="22"/>
    <w:bookmarkStart w:id="23" w:name="quem-tem-acordo-com-a-caixa"/>
    <w:p>
      <w:pPr>
        <w:pStyle w:val="Heading2"/>
      </w:pPr>
      <w:r>
        <w:t xml:space="preserve">Quem tem acordo com a Caixa</w:t>
      </w:r>
    </w:p>
    <w:p>
      <w:pPr>
        <w:pStyle w:val="FirstParagraph"/>
      </w:pPr>
      <w:r>
        <w:t xml:space="preserve">O edital permite migrar acordos ativos firmados com a Caixa Econômica Federal para as novas condições. Para isso, é preciso requerer a migração e desistir do acordo anterior. Vale simular antes: se o acordo atual já está em dia e com parcela leve, a troca nem sempre compensa.</w:t>
      </w:r>
    </w:p>
    <w:bookmarkEnd w:id="23"/>
    <w:bookmarkStart w:id="24" w:name="como-decidir-três-perguntas"/>
    <w:p>
      <w:pPr>
        <w:pStyle w:val="Heading2"/>
      </w:pPr>
      <w:r>
        <w:t xml:space="preserve">Como decidir: três perguntas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débito é discutível?</w:t>
      </w:r>
      <w:r>
        <w:t xml:space="preserve"> </w:t>
      </w:r>
      <w:r>
        <w:t xml:space="preserve">Se há tese de prescrição ou de nulidade da inscrição, compare o valor esperado da discussão com o desconto.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Qual a modalidade mais favorável?</w:t>
      </w:r>
      <w:r>
        <w:t xml:space="preserve"> </w:t>
      </w:r>
      <w:r>
        <w:t xml:space="preserve">O enquadramento muda o desconto e o número de parcelas. O porte da empresa e a capacidade de pagamento definem o caminho.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fluxo de caixa suporta as 12 primeiras parcelas?</w:t>
      </w:r>
      <w:r>
        <w:t xml:space="preserve"> </w:t>
      </w:r>
      <w:r>
        <w:t xml:space="preserve">Elas têm ordem de imputação própria, com prioridade para o FGTS de rescisão.</w:t>
      </w:r>
    </w:p>
    <w:bookmarkEnd w:id="24"/>
    <w:bookmarkStart w:id="28" w:name="perguntas-frequentes"/>
    <w:p>
      <w:pPr>
        <w:pStyle w:val="Heading2"/>
      </w:pPr>
      <w:r>
        <w:t xml:space="preserve">Perguntas frequentes</w:t>
      </w:r>
    </w:p>
    <w:bookmarkStart w:id="25" w:name="Xdf805f2fb7548c9072bce9c8da88cf05fbade59"/>
    <w:p>
      <w:pPr>
        <w:pStyle w:val="Heading3"/>
      </w:pPr>
      <w:r>
        <w:t xml:space="preserve">Débitos ainda não inscritos em dívida ativa entram?</w:t>
      </w:r>
    </w:p>
    <w:p>
      <w:pPr>
        <w:pStyle w:val="FirstParagraph"/>
      </w:pPr>
      <w:r>
        <w:t xml:space="preserve">Em regra, não. O edital trata de inscrições até 17/07/2026. Débitos em fase de notificação ou fiscalização seguem outro caminho.</w:t>
      </w:r>
    </w:p>
    <w:bookmarkEnd w:id="25"/>
    <w:bookmarkStart w:id="26" w:name="X9c9b66c5e7f648c21e701848018e0a36a4c7e54"/>
    <w:p>
      <w:pPr>
        <w:pStyle w:val="Heading3"/>
      </w:pPr>
      <w:r>
        <w:t xml:space="preserve">O desconto pode reduzir o que o trabalhador recebe?</w:t>
      </w:r>
    </w:p>
    <w:p>
      <w:pPr>
        <w:pStyle w:val="FirstParagraph"/>
      </w:pPr>
      <w:r>
        <w:t xml:space="preserve">Não. Os valores destinados aos trabalhadores ficam fora do desconto, e a empresa deve individualizá-los nas contas vinculadas.</w:t>
      </w:r>
    </w:p>
    <w:bookmarkEnd w:id="26"/>
    <w:bookmarkStart w:id="27" w:name="Xb979c881df8ca61676b41cc898b97230b85259f"/>
    <w:p>
      <w:pPr>
        <w:pStyle w:val="Heading3"/>
      </w:pPr>
      <w:r>
        <w:t xml:space="preserve">Posso aderir e continuar discutindo na Justiça?</w:t>
      </w:r>
    </w:p>
    <w:p>
      <w:pPr>
        <w:pStyle w:val="FirstParagraph"/>
      </w:pPr>
      <w:r>
        <w:t xml:space="preserve">Não em relação aos débitos negociados. A adesão implica desistência e renúncia.</w:t>
      </w:r>
    </w:p>
    <w:bookmarkEnd w:id="27"/>
    <w:bookmarkEnd w:id="28"/>
    <w:bookmarkStart w:id="29" w:name="antes-de-aderir"/>
    <w:p>
      <w:pPr>
        <w:pStyle w:val="Heading2"/>
      </w:pPr>
      <w:r>
        <w:t xml:space="preserve">Antes de aderir</w:t>
      </w:r>
    </w:p>
    <w:p>
      <w:pPr>
        <w:pStyle w:val="FirstParagraph"/>
      </w:pPr>
      <w:r>
        <w:t xml:space="preserve">A janela é longa, mas não precisa ser usada no último dia. O primeiro passo é levantar as inscrições, separar as que são discutíveis das que não são e simular as modalidades.</w:t>
      </w:r>
    </w:p>
    <w:p>
      <w:pPr>
        <w:pStyle w:val="BodyText"/>
      </w:pPr>
      <w:r>
        <w:t xml:space="preserve">A equipe tributária e trabalhista da Manassés Lopes Advogados pode fazer esse levantamento, avaliar a melhor modalidade e conduzir a adesão no Portal Regularize. Fale conosco em manasseslopes.com.</w:t>
      </w:r>
    </w:p>
    <w:p>
      <w:pPr>
        <w:pStyle w:val="BodyText"/>
      </w:pPr>
      <w:r>
        <w:rPr>
          <w:iCs/>
          <w:i/>
        </w:rPr>
        <w:t xml:space="preserve">Fonte: Edital PGDAU/PGFN/MF nº 12, de 29/09/2026, e notícias do Ministério da Fazenda de 23/10/2026. Este texto tem caráter informativo e não substitui a análise do caso concreto. Confira o texto integral do edital antes de aderir, inclusive quanto ao percentual de entrada em cada modalidade.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Dívida de FGTS inscrita na PGFN: o que muda com o Edital nº 12/2026</dc:title>
  <dc:creator/>
  <cp:keywords/>
  <dcterms:created xsi:type="dcterms:W3CDTF">2026-10-26T21:43:02Z</dcterms:created>
  <dcterms:modified xsi:type="dcterms:W3CDTF">2026-10-26T21:43:02Z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