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PGFN</w:t>
      </w:r>
      <w:r>
        <w:t xml:space="preserve"> </w:t>
      </w:r>
      <w:r>
        <w:t xml:space="preserve">abre</w:t>
      </w:r>
      <w:r>
        <w:t xml:space="preserve"> </w:t>
      </w:r>
      <w:r>
        <w:t xml:space="preserve">transação</w:t>
      </w:r>
      <w:r>
        <w:t xml:space="preserve"> </w:t>
      </w:r>
      <w:r>
        <w:t xml:space="preserve">para</w:t>
      </w:r>
      <w:r>
        <w:t xml:space="preserve"> </w:t>
      </w:r>
      <w:r>
        <w:t xml:space="preserve">dívida</w:t>
      </w:r>
      <w:r>
        <w:t xml:space="preserve"> </w:t>
      </w:r>
      <w:r>
        <w:t xml:space="preserve">de</w:t>
      </w:r>
      <w:r>
        <w:t xml:space="preserve"> </w:t>
      </w:r>
      <w:r>
        <w:t xml:space="preserve">FGTS</w:t>
      </w:r>
      <w:r>
        <w:t xml:space="preserve"> </w:t>
      </w:r>
      <w:r>
        <w:t xml:space="preserve">de</w:t>
      </w:r>
      <w:r>
        <w:t xml:space="preserve"> </w:t>
      </w:r>
      <w:r>
        <w:t xml:space="preserve">até</w:t>
      </w:r>
      <w:r>
        <w:t xml:space="preserve"> </w:t>
      </w:r>
      <w:r>
        <w:t xml:space="preserve">R$</w:t>
      </w:r>
      <w:r>
        <w:t xml:space="preserve"> </w:t>
      </w:r>
      <w:r>
        <w:t xml:space="preserve">45</w:t>
      </w:r>
      <w:r>
        <w:t xml:space="preserve"> </w:t>
      </w:r>
      <w:r>
        <w:t xml:space="preserve">milhões,</w:t>
      </w:r>
      <w:r>
        <w:t xml:space="preserve"> </w:t>
      </w:r>
      <w:r>
        <w:t xml:space="preserve">mas</w:t>
      </w:r>
      <w:r>
        <w:t xml:space="preserve"> </w:t>
      </w:r>
      <w:r>
        <w:t xml:space="preserve">adesão</w:t>
      </w:r>
      <w:r>
        <w:t xml:space="preserve"> </w:t>
      </w:r>
      <w:r>
        <w:t xml:space="preserve">exige</w:t>
      </w:r>
      <w:r>
        <w:t xml:space="preserve"> </w:t>
      </w:r>
      <w:r>
        <w:t xml:space="preserve">renúncia</w:t>
      </w:r>
      <w:r>
        <w:t xml:space="preserve"> </w:t>
      </w:r>
      <w:r>
        <w:t xml:space="preserve">judicial</w:t>
      </w:r>
    </w:p>
    <w:p>
      <w:pPr>
        <w:pStyle w:val="FirstParagraph"/>
      </w:pPr>
      <w:r>
        <w:rPr>
          <w:iCs/>
          <w:i/>
        </w:rPr>
        <w:t xml:space="preserve">26 de outubro de 2026</w:t>
      </w:r>
    </w:p>
    <w:p>
      <w:pPr>
        <w:pStyle w:val="BodyText"/>
      </w:pPr>
      <w:r>
        <w:t xml:space="preserve">A PGFN abriu, em 15 de outubro, a adesão ao Edital nº 12/2026 para débitos de FGTS e da LC 110/2001 inscritos em dívida ativa. O prazo vai até 29 de janeiro de 2027.</w:t>
      </w:r>
    </w:p>
    <w:p>
      <w:pPr>
        <w:pStyle w:val="BodyText"/>
      </w:pPr>
      <w:r>
        <w:t xml:space="preserve">O desconto é real, mas o preço é a desistência de qualquer discussão judicial sobre a dívida negociada.</w:t>
      </w:r>
    </w:p>
    <w:bookmarkStart w:id="20" w:name="o-edital-em-poucas-linhas"/>
    <w:p>
      <w:pPr>
        <w:pStyle w:val="Heading2"/>
      </w:pPr>
      <w:r>
        <w:t xml:space="preserve">O edital em poucas linhas</w:t>
      </w:r>
    </w:p>
    <w:p>
      <w:pPr>
        <w:numPr>
          <w:ilvl w:val="0"/>
          <w:numId w:val="1001"/>
        </w:numPr>
        <w:pStyle w:val="Compact"/>
      </w:pPr>
      <w:r>
        <w:t xml:space="preserve">Limite de R$ 45 milhões de dívida consolidada por devedor.</w:t>
      </w:r>
    </w:p>
    <w:p>
      <w:pPr>
        <w:numPr>
          <w:ilvl w:val="0"/>
          <w:numId w:val="1001"/>
        </w:numPr>
        <w:pStyle w:val="Compact"/>
      </w:pPr>
      <w:r>
        <w:t xml:space="preserve">Adesão pelo Portal Regularize.</w:t>
      </w:r>
    </w:p>
    <w:p>
      <w:pPr>
        <w:numPr>
          <w:ilvl w:val="0"/>
          <w:numId w:val="1001"/>
        </w:numPr>
        <w:pStyle w:val="Compact"/>
      </w:pPr>
      <w:r>
        <w:t xml:space="preserve">Inscrições até 17/07/2026 (pequeno valor: até 15/10/2025).</w:t>
      </w:r>
    </w:p>
    <w:p>
      <w:pPr>
        <w:numPr>
          <w:ilvl w:val="0"/>
          <w:numId w:val="1001"/>
        </w:numPr>
        <w:pStyle w:val="Compact"/>
      </w:pPr>
      <w:r>
        <w:t xml:space="preserve">Parcelamento em até 120 ou 145 prestações, conforme o enquadramento.</w:t>
      </w:r>
    </w:p>
    <w:bookmarkEnd w:id="20"/>
    <w:bookmarkStart w:id="21" w:name="onde-está-o-ganho"/>
    <w:p>
      <w:pPr>
        <w:pStyle w:val="Heading2"/>
      </w:pPr>
      <w:r>
        <w:t xml:space="preserve">Onde está o ganho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Capacidade de pagamento e irrecuperáveis:</w:t>
      </w:r>
      <w:r>
        <w:t xml:space="preserve"> </w:t>
      </w:r>
      <w:r>
        <w:t xml:space="preserve">até 100% sobre os acréscimos elegíveis, limitado a 65% do valor de cada inscrição.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PF, MEI, ME, EPP, cooperativas e instituições de ensino:</w:t>
      </w:r>
      <w:r>
        <w:t xml:space="preserve"> </w:t>
      </w:r>
      <w:r>
        <w:t xml:space="preserve">até 70%.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Pequeno valor:</w:t>
      </w:r>
      <w:r>
        <w:t xml:space="preserve"> </w:t>
      </w:r>
      <w:r>
        <w:t xml:space="preserve">até 50%, para contribuições de até 60 salários mínimos por inscrição.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Seguro garantia ou carta fiança:</w:t>
      </w:r>
      <w:r>
        <w:t xml:space="preserve"> </w:t>
      </w:r>
      <w:r>
        <w:t xml:space="preserve">sem desconto, com entrada de 30% a 50%.</w:t>
      </w:r>
    </w:p>
    <w:p>
      <w:pPr>
        <w:pStyle w:val="FirstParagraph"/>
      </w:pPr>
      <w:r>
        <w:t xml:space="preserve">O desconto não alcança os valores devidos aos trabalhadores. Eles continuam integrais e devem ser individualizados nas contas em até 30 dias após o primeiro pagamento.</w:t>
      </w:r>
    </w:p>
    <w:bookmarkEnd w:id="21"/>
    <w:bookmarkStart w:id="22" w:name="a-ordem-das-parcelas-importa"/>
    <w:p>
      <w:pPr>
        <w:pStyle w:val="Heading2"/>
      </w:pPr>
      <w:r>
        <w:t xml:space="preserve">A ordem das parcelas importa</w:t>
      </w:r>
    </w:p>
    <w:p>
      <w:pPr>
        <w:pStyle w:val="FirstParagraph"/>
      </w:pPr>
      <w:r>
        <w:t xml:space="preserve">As primeiras 12 prestações priorizam o FGTS ligado à regra de rescisão contratual. Quem calcula o fluxo de caixa só pelo valor total parcelado pode ser surpreendido: o início do acordo concentra o que é devido ao trabalhador.</w:t>
      </w:r>
    </w:p>
    <w:bookmarkEnd w:id="22"/>
    <w:bookmarkStart w:id="23" w:name="o-que-fazer-agora"/>
    <w:p>
      <w:pPr>
        <w:pStyle w:val="Heading2"/>
      </w:pPr>
      <w:r>
        <w:t xml:space="preserve">O que fazer agora</w:t>
      </w:r>
    </w:p>
    <w:p>
      <w:pPr>
        <w:numPr>
          <w:ilvl w:val="0"/>
          <w:numId w:val="1003"/>
        </w:numPr>
        <w:pStyle w:val="Compact"/>
      </w:pPr>
      <w:r>
        <w:t xml:space="preserve">Levantar todas as inscrições de FGTS e LC 110 e conferir a data de inscrição.</w:t>
      </w:r>
    </w:p>
    <w:p>
      <w:pPr>
        <w:numPr>
          <w:ilvl w:val="0"/>
          <w:numId w:val="1003"/>
        </w:numPr>
        <w:pStyle w:val="Compact"/>
      </w:pPr>
      <w:r>
        <w:t xml:space="preserve">Separar as dívidas contestáveis (prescrição, vínculo, base de cálculo) das incontroversas.</w:t>
      </w:r>
    </w:p>
    <w:p>
      <w:pPr>
        <w:numPr>
          <w:ilvl w:val="0"/>
          <w:numId w:val="1003"/>
        </w:numPr>
        <w:pStyle w:val="Compact"/>
      </w:pPr>
      <w:r>
        <w:t xml:space="preserve">Simular as modalidades e comparar com eventual acordo ativo na Caixa, que pode ser migrado.</w:t>
      </w:r>
    </w:p>
    <w:p>
      <w:pPr>
        <w:numPr>
          <w:ilvl w:val="0"/>
          <w:numId w:val="1003"/>
        </w:numPr>
        <w:pStyle w:val="Compact"/>
      </w:pPr>
      <w:r>
        <w:t xml:space="preserve">Verificar o percentual de entrada de cada modalidade no texto integral do edital.</w:t>
      </w:r>
    </w:p>
    <w:p>
      <w:pPr>
        <w:numPr>
          <w:ilvl w:val="0"/>
          <w:numId w:val="1003"/>
        </w:numPr>
        <w:pStyle w:val="Compact"/>
      </w:pPr>
      <w:r>
        <w:t xml:space="preserve">Decidir antes do fim do prazo, sem deixar para os últimos dias.</w:t>
      </w:r>
    </w:p>
    <w:p>
      <w:pPr>
        <w:pStyle w:val="FirstParagraph"/>
      </w:pPr>
      <w:r>
        <w:t xml:space="preserve">Contrato organizado e débito mapeado valem mais do que desconto aceito às pressas.</w:t>
      </w:r>
    </w:p>
    <w:p>
      <w:pPr>
        <w:pStyle w:val="BodyText"/>
      </w:pPr>
      <w:r>
        <w:rPr>
          <w:iCs/>
          <w:i/>
        </w:rPr>
        <w:t xml:space="preserve">Este texto tem caráter informativo e não substitui a análise do caso concreto.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PGFN abre transação para dívida de FGTS de até R$ 45 milhões, mas adesão exige renúncia judicial</dc:title>
  <dc:creator/>
  <cp:keywords/>
  <dcterms:created xsi:type="dcterms:W3CDTF">2026-10-26T21:43:02Z</dcterms:created>
  <dcterms:modified xsi:type="dcterms:W3CDTF">2026-10-26T21:43:02Z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