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xto-para-linkedin"/>
    <w:p>
      <w:pPr>
        <w:pStyle w:val="Heading1"/>
      </w:pPr>
      <w:r>
        <w:t xml:space="preserve">Texto para LinkedIn</w:t>
      </w:r>
    </w:p>
    <w:p>
      <w:pPr>
        <w:pStyle w:val="FirstParagraph"/>
      </w:pPr>
      <w:r>
        <w:rPr>
          <w:bCs/>
          <w:b/>
        </w:rPr>
        <w:t xml:space="preserve">Dívida de FGTS na PGFN? Há uma janela de negociação aberta até 29/01/2027.</w:t>
      </w:r>
    </w:p>
    <w:p>
      <w:pPr>
        <w:pStyle w:val="BodyText"/>
      </w:pPr>
      <w:r>
        <w:t xml:space="preserve">O Edital de Transação nº 12/2026 permite regularizar débitos de FGTS e da LC 110/2001 inscritos em dívida ativa, até R$ 45 milhões por devedor, com descontos de até 70% sobre multas, juros e encargos e parcelamento em até 120 ou 145 vezes.</w:t>
      </w:r>
    </w:p>
    <w:p>
      <w:pPr>
        <w:pStyle w:val="BodyText"/>
      </w:pPr>
      <w:r>
        <w:t xml:space="preserve">Atenção a três pontos antes de aderir:</w:t>
      </w:r>
    </w:p>
    <w:p>
      <w:pPr>
        <w:numPr>
          <w:ilvl w:val="0"/>
          <w:numId w:val="1001"/>
        </w:numPr>
        <w:pStyle w:val="Compact"/>
      </w:pPr>
      <w:r>
        <w:t xml:space="preserve">o desconto não alcança os valores devidos aos trabalhadores;</w:t>
      </w:r>
    </w:p>
    <w:p>
      <w:pPr>
        <w:numPr>
          <w:ilvl w:val="0"/>
          <w:numId w:val="1001"/>
        </w:numPr>
        <w:pStyle w:val="Compact"/>
      </w:pPr>
      <w:r>
        <w:t xml:space="preserve">a adesão exige desistência e renúncia às discussões judiciais sobre o débito negociado;</w:t>
      </w:r>
    </w:p>
    <w:p>
      <w:pPr>
        <w:numPr>
          <w:ilvl w:val="0"/>
          <w:numId w:val="1001"/>
        </w:numPr>
        <w:pStyle w:val="Compact"/>
      </w:pPr>
      <w:r>
        <w:t xml:space="preserve">as 12 primeiras parcelas priorizam o FGTS da regra de rescisão, o que pesa no fluxo de caixa.</w:t>
      </w:r>
    </w:p>
    <w:p>
      <w:pPr>
        <w:pStyle w:val="FirstParagraph"/>
      </w:pPr>
      <w:r>
        <w:t xml:space="preserve">Acordos ativos com a Caixa podem ser migrados para as novas condições. Vale simular antes de decidir.</w:t>
      </w:r>
    </w:p>
    <w:p>
      <w:pPr>
        <w:pStyle w:val="BodyText"/>
      </w:pPr>
      <w:r>
        <w:t xml:space="preserve">Leia…:</w:t>
      </w:r>
      <w:r>
        <w:t xml:space="preserve"> </w:t>
      </w:r>
      <w:r>
        <w:t xml:space="preserve">Manassés Lopes Advogados: https://www.manasseslopes.com</w:t>
      </w:r>
      <w:r>
        <w:t xml:space="preserve"> </w:t>
      </w:r>
      <w:r>
        <w:t xml:space="preserve">O Tributarista Minucioso: https://otributaristaminucioso.blogspot.com</w:t>
      </w:r>
    </w:p>
    <w:p>
      <w:pPr>
        <w:pStyle w:val="BodyText"/>
      </w:pPr>
      <w:r>
        <w:t xml:space="preserve">#DireitoTributário #FGTS #PGFN #TransaçãoTributária #Empresas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2026-10-26T21:43:02Z</dcterms:created>
  <dcterms:modified xsi:type="dcterms:W3CDTF">2026-10-26T21:43:02Z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