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Mercosul–EFTA:</w:t>
      </w:r>
      <w:r>
        <w:t xml:space="preserve"> </w:t>
      </w:r>
      <w:r>
        <w:t xml:space="preserve">quem</w:t>
      </w:r>
      <w:r>
        <w:t xml:space="preserve"> </w:t>
      </w:r>
      <w:r>
        <w:t xml:space="preserve">chegar</w:t>
      </w:r>
      <w:r>
        <w:t xml:space="preserve"> </w:t>
      </w:r>
      <w:r>
        <w:t xml:space="preserve">primeiro</w:t>
      </w:r>
      <w:r>
        <w:t xml:space="preserve"> </w:t>
      </w:r>
      <w:r>
        <w:t xml:space="preserve">leva</w:t>
      </w:r>
      <w:r>
        <w:t xml:space="preserve"> </w:t>
      </w:r>
      <w:r>
        <w:t xml:space="preserve">a</w:t>
      </w:r>
      <w:r>
        <w:t xml:space="preserve"> </w:t>
      </w:r>
      <w:r>
        <w:t xml:space="preserve">cota.</w:t>
      </w:r>
      <w:r>
        <w:t xml:space="preserve"> </w:t>
      </w:r>
      <w:r>
        <w:t xml:space="preserve">O</w:t>
      </w:r>
      <w:r>
        <w:t xml:space="preserve"> </w:t>
      </w:r>
      <w:r>
        <w:t xml:space="preserve">que</w:t>
      </w:r>
      <w:r>
        <w:t xml:space="preserve"> </w:t>
      </w:r>
      <w:r>
        <w:t xml:space="preserve">exportadores</w:t>
      </w:r>
      <w:r>
        <w:t xml:space="preserve"> </w:t>
      </w:r>
      <w:r>
        <w:t xml:space="preserve">e</w:t>
      </w:r>
      <w:r>
        <w:t xml:space="preserve"> </w:t>
      </w:r>
      <w:r>
        <w:t xml:space="preserve">importadores</w:t>
      </w:r>
      <w:r>
        <w:t xml:space="preserve"> </w:t>
      </w:r>
      <w:r>
        <w:t xml:space="preserve">precisam</w:t>
      </w:r>
      <w:r>
        <w:t xml:space="preserve"> </w:t>
      </w:r>
      <w:r>
        <w:t xml:space="preserve">fazer</w:t>
      </w:r>
      <w:r>
        <w:t xml:space="preserve"> </w:t>
      </w:r>
      <w: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1º</w:t>
      </w:r>
      <w:r>
        <w:t xml:space="preserve"> </w:t>
      </w:r>
      <w:r>
        <w:t xml:space="preserve">de</w:t>
      </w:r>
      <w:r>
        <w:t xml:space="preserve"> </w:t>
      </w:r>
      <w:r>
        <w:t xml:space="preserve">novembro</w:t>
      </w:r>
    </w:p>
    <w:p>
      <w:pPr>
        <w:pStyle w:val="FirstParagraph"/>
      </w:pPr>
      <w:r>
        <w:rPr>
          <w:iCs/>
          <w:i/>
        </w:rPr>
        <w:t xml:space="preserve">Análise jurídica e de mercado sobre o acesso às cotas tarifárias do acordo</w:t>
      </w:r>
    </w:p>
    <w:bookmarkStart w:id="20" w:name="resumo-executivo"/>
    <w:p>
      <w:pPr>
        <w:pStyle w:val="Heading2"/>
      </w:pPr>
      <w:r>
        <w:t xml:space="preserve">Resumo executivo</w:t>
      </w:r>
    </w:p>
    <w:p>
      <w:pPr>
        <w:pStyle w:val="FirstParagraph"/>
      </w:pPr>
      <w:r>
        <w:t xml:space="preserve">O governo brasileiro regulamentou o uso das cotas do acordo de livre comércio Mercosul–EFTA. Do lado da</w:t>
      </w:r>
      <w:r>
        <w:t xml:space="preserve"> </w:t>
      </w:r>
      <w:r>
        <w:rPr>
          <w:bCs/>
          <w:b/>
        </w:rPr>
        <w:t xml:space="preserve">importação</w:t>
      </w:r>
      <w:r>
        <w:t xml:space="preserve">, a Portaria Secex nº 544/2026 disciplina as cotas de vinhos, queijos, fórmulas infantis e chocolates. Do lado da</w:t>
      </w:r>
      <w:r>
        <w:t xml:space="preserve"> </w:t>
      </w:r>
      <w:r>
        <w:rPr>
          <w:bCs/>
          <w:b/>
        </w:rPr>
        <w:t xml:space="preserve">exportação</w:t>
      </w:r>
      <w:r>
        <w:t xml:space="preserve">, o MDIC anunciou em 20 de outubro as regras para acessar as cotas da Noruega, com procedimentos válidos a partir de</w:t>
      </w:r>
      <w:r>
        <w:t xml:space="preserve"> </w:t>
      </w:r>
      <w:r>
        <w:rPr>
          <w:bCs/>
          <w:b/>
        </w:rPr>
        <w:t xml:space="preserve">1º de novembro de 2026</w:t>
      </w:r>
      <w:r>
        <w:t xml:space="preserve">. O ponto central para as empresas: em 2026 não há divisão prévia das cotas entre os sócios do Mercosul, e a alocação segue a</w:t>
      </w:r>
      <w:r>
        <w:t xml:space="preserve"> </w:t>
      </w:r>
      <w:r>
        <w:rPr>
          <w:bCs/>
          <w:b/>
        </w:rPr>
        <w:t xml:space="preserve">ordem de apresentação dos pedidos</w:t>
      </w:r>
      <w:r>
        <w:t xml:space="preserve">. Preparação operacional, e não só preço, vai decidir quem aproveita a preferência tarifária.</w:t>
      </w:r>
    </w:p>
    <w:bookmarkEnd w:id="20"/>
    <w:bookmarkStart w:id="21" w:name="contexto-do-acordo"/>
    <w:p>
      <w:pPr>
        <w:pStyle w:val="Heading2"/>
      </w:pPr>
      <w:r>
        <w:t xml:space="preserve">1. Contexto do acordo</w:t>
      </w:r>
    </w:p>
    <w:p>
      <w:pPr>
        <w:pStyle w:val="FirstParagraph"/>
      </w:pPr>
      <w:r>
        <w:t xml:space="preserve">O acordo foi assinado no Rio de Janeiro em 16 de setembro de 2025 e promulgado pelo Decreto nº 13.126, de 23 de setembro de 2026. A EFTA reúne Noruega, Islândia, Suíça e Liechtenstein. Segundo o MDIC, a Islândia passou a aplicar o acordo em 1º de outubro, mas não abriu cotas para o Mercosul; Suíça e Liechtenstein ainda não concluíram os procedimentos internos. Na prática, o primeiro mercado com cotas operacionais para o exportador brasileiro é o norueguês.</w:t>
      </w:r>
    </w:p>
    <w:p>
      <w:pPr>
        <w:pStyle w:val="BodyText"/>
      </w:pPr>
      <w:r>
        <w:t xml:space="preserve">O governo informa que a EFTA eliminará a totalidade das tarifas sobre produtos industriais e da pesca na entrada em vigor, que a Noruega incluiu 99,8% das exportações brasileiras na lista de livre comércio, e que, do lado brasileiro, cerca de 97% do comércio com a EFTA é liberalizado, com cerca de 1,2% de redução parcial, inclusive por cotas e preferências fixas, em prazos de 4, 8, 10 ou 15 anos. Produtos sensíveis, sobretudo agrícolas, ficam em regime de cotas, e é aí que a regulamentação operacional importa.</w:t>
      </w:r>
    </w:p>
    <w:bookmarkEnd w:id="21"/>
    <w:bookmarkStart w:id="22" w:name="importação-portaria-secex-nº-5442026"/>
    <w:p>
      <w:pPr>
        <w:pStyle w:val="Heading2"/>
      </w:pPr>
      <w:r>
        <w:t xml:space="preserve">2. Importação: Portaria Secex nº 544/2026</w:t>
      </w:r>
    </w:p>
    <w:p>
      <w:pPr>
        <w:pStyle w:val="FirstParagraph"/>
      </w:pPr>
      <w:r>
        <w:t xml:space="preserve">A portaria, de 30 de setembro e publicada no DOU de 1º de outubro, trata das cotas de importação para 2026: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Produtos:</w:t>
      </w:r>
      <w:r>
        <w:t xml:space="preserve"> </w:t>
      </w:r>
      <w:r>
        <w:t xml:space="preserve">vinhos, queijos, fórmulas infantis e chocolates originários da EFTA.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Funcionamento:</w:t>
      </w:r>
      <w:r>
        <w:t xml:space="preserve"> </w:t>
      </w:r>
      <w:r>
        <w:t xml:space="preserve">importações dentro do limite da cota recebem a preferência tarifária negociada; esgotada a cota, as seguintes pagam a tarifa fora da cota. A norma prevê limites máximos por operador.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Procedimento:</w:t>
      </w:r>
      <w:r>
        <w:t xml:space="preserve"> </w:t>
      </w:r>
      <w:r>
        <w:t xml:space="preserve">o importador pede licença no Portal Único Siscomex; a Secex emite a licença eletrônica; ela deve ser vinculada à Duimp em até 60 dias da emissão.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Produtos sem cota:</w:t>
      </w:r>
      <w:r>
        <w:t xml:space="preserve"> </w:t>
      </w:r>
      <w:r>
        <w:t xml:space="preserve">a preferência depende de cumprir as regras de origem e demais exigências.</w:t>
      </w:r>
    </w:p>
    <w:bookmarkEnd w:id="22"/>
    <w:bookmarkStart w:id="23" w:name="X0bb0b85aef0037c6ce867f255e190f570cf740e"/>
    <w:p>
      <w:pPr>
        <w:pStyle w:val="Heading2"/>
      </w:pPr>
      <w:r>
        <w:t xml:space="preserve">3. Exportação para a Noruega: o que o MDIC informou</w:t>
      </w:r>
    </w:p>
    <w:p>
      <w:pPr>
        <w:pStyle w:val="FirstParagraph"/>
      </w:pPr>
      <w:r>
        <w:t xml:space="preserve">As cotas abertas pela Noruega abrangem, segundo as informações oficiais, carne bovina, carne de frango e preparações, mel natural, batatas, maçãs frescas, trigo duro, milho, melaço de cana, suco de maçã, farinha de soja e cavalos vivos. O fluxo é este:</w:t>
      </w:r>
    </w:p>
    <w:p>
      <w:pPr>
        <w:numPr>
          <w:ilvl w:val="0"/>
          <w:numId w:val="1002"/>
        </w:numPr>
        <w:pStyle w:val="Compact"/>
      </w:pPr>
      <w:r>
        <w:t xml:space="preserve">O exportador solicita a licença no módulo LPCO do Portal Único Siscomex.</w:t>
      </w:r>
    </w:p>
    <w:p>
      <w:pPr>
        <w:numPr>
          <w:ilvl w:val="0"/>
          <w:numId w:val="1002"/>
        </w:numPr>
        <w:pStyle w:val="Compact"/>
      </w:pPr>
      <w:r>
        <w:t xml:space="preserve">A Secex confere o saldo, reserva a quantidade e concede a licença.</w:t>
      </w:r>
    </w:p>
    <w:p>
      <w:pPr>
        <w:numPr>
          <w:ilvl w:val="0"/>
          <w:numId w:val="1002"/>
        </w:numPr>
        <w:pStyle w:val="Compact"/>
      </w:pPr>
      <w:r>
        <w:t xml:space="preserve">O exportador tem 60 dias para vincular a licença à DUE.</w:t>
      </w:r>
    </w:p>
    <w:p>
      <w:pPr>
        <w:numPr>
          <w:ilvl w:val="0"/>
          <w:numId w:val="1002"/>
        </w:numPr>
        <w:pStyle w:val="Compact"/>
      </w:pPr>
      <w:r>
        <w:t xml:space="preserve">Após o desembaraço, é emitido no LPCO o Certificado de Autorização de Cotas Mercosul, necessário para pleitear o benefício na Noruega.</w:t>
      </w:r>
    </w:p>
    <w:p>
      <w:pPr>
        <w:numPr>
          <w:ilvl w:val="0"/>
          <w:numId w:val="1002"/>
        </w:numPr>
        <w:pStyle w:val="Compact"/>
      </w:pPr>
      <w:r>
        <w:t xml:space="preserve">Se a licença não for vinculada no prazo, ou for cancelada, o certificado perde efeito e o saldo volta à cota.</w:t>
      </w:r>
    </w:p>
    <w:p>
      <w:pPr>
        <w:pStyle w:val="FirstParagraph"/>
      </w:pPr>
      <w:r>
        <w:rPr>
          <w:bCs/>
          <w:b/>
        </w:rPr>
        <w:t xml:space="preserve">Atenção à norma aplicável:</w:t>
      </w:r>
      <w:r>
        <w:t xml:space="preserve"> </w:t>
      </w:r>
      <w:r>
        <w:t xml:space="preserve">as fontes divergem sobre o número do ato que fixou os procedimentos de exportação (o MDIC cita publicação da Secex em 19/10/2026; outras reportagens citam as Portarias 544 e 548). Antes de operar, confirme o texto vigente no Diário Oficial da União.</w:t>
      </w:r>
    </w:p>
    <w:bookmarkEnd w:id="23"/>
    <w:bookmarkStart w:id="24" w:name="análise-de-mercado"/>
    <w:p>
      <w:pPr>
        <w:pStyle w:val="Heading2"/>
      </w:pPr>
      <w:r>
        <w:t xml:space="preserve">4. Análise de mercado</w:t>
      </w:r>
    </w:p>
    <w:p>
      <w:pPr>
        <w:pStyle w:val="FirstParagraph"/>
      </w:pPr>
      <w:r>
        <w:rPr>
          <w:bCs/>
          <w:b/>
        </w:rPr>
        <w:t xml:space="preserve">Corrida por ordem de pedido.</w:t>
      </w:r>
      <w:r>
        <w:t xml:space="preserve"> </w:t>
      </w:r>
      <w:r>
        <w:t xml:space="preserve">Sem divisão prévia entre Brasil, Argentina, Paraguai e Uruguai, a regra de</w:t>
      </w:r>
      <w:r>
        <w:t xml:space="preserve"> </w:t>
      </w:r>
      <w:r>
        <w:t xml:space="preserve">“</w:t>
      </w:r>
      <w:r>
        <w:t xml:space="preserve">primeiro a pedir, primeiro a ser atendido</w:t>
      </w:r>
      <w:r>
        <w:t xml:space="preserve">”</w:t>
      </w:r>
      <w:r>
        <w:t xml:space="preserve"> </w:t>
      </w:r>
      <w:r>
        <w:t xml:space="preserve">favorece empresas com logística pronta, cadastro regularizado no Siscomex e contrato com comprador definido. O sistema premia a prontidão. É uma leitura nossa, mas decorre do desenho do critério de alocação.</w:t>
      </w:r>
    </w:p>
    <w:p>
      <w:pPr>
        <w:pStyle w:val="BodyText"/>
      </w:pPr>
      <w:r>
        <w:rPr>
          <w:bCs/>
          <w:b/>
        </w:rPr>
        <w:t xml:space="preserve">Proteínas e agro em vantagem competitiva potencial.</w:t>
      </w:r>
      <w:r>
        <w:t xml:space="preserve"> </w:t>
      </w:r>
      <w:r>
        <w:t xml:space="preserve">Carne bovina, frango, mel, milho e suco de maçã estão entre os itens listados. Para exportadores desses setores, a Noruega é um mercado de alto valor agregado e de exigências sanitárias rigorosas. A cota reduz a tarifa, mas não substitui habilitação sanitária, rastreabilidade e certificações, que continuam sendo pré-requisito comercial.</w:t>
      </w:r>
    </w:p>
    <w:p>
      <w:pPr>
        <w:pStyle w:val="BodyText"/>
      </w:pPr>
      <w:r>
        <w:rPr>
          <w:bCs/>
          <w:b/>
        </w:rPr>
        <w:t xml:space="preserve">Importadores e distribuidores de bens de consumo.</w:t>
      </w:r>
      <w:r>
        <w:t xml:space="preserve"> </w:t>
      </w:r>
      <w:r>
        <w:t xml:space="preserve">Vinhos, queijos, fórmulas infantis e chocolates europeus podem ganhar competitividade de custo no Brasil dentro das cotas. Há, porém, o risco de esgotamento: o benefício pode acabar antes do fim do ano, e as importações posteriores pagam a tarifa cheia. Importadores precisam decidir entre antecipar compras e manter estoque ou arriscar o preço fora da cota.</w:t>
      </w:r>
    </w:p>
    <w:p>
      <w:pPr>
        <w:pStyle w:val="BodyText"/>
      </w:pPr>
      <w:r>
        <w:rPr>
          <w:bCs/>
          <w:b/>
        </w:rPr>
        <w:t xml:space="preserve">Efeito de escala nas cadeias.</w:t>
      </w:r>
      <w:r>
        <w:t xml:space="preserve"> </w:t>
      </w:r>
      <w:r>
        <w:t xml:space="preserve">Pequenos produtores raramente exportam diretamente. Cooperativas, tradings e exportadoras tendem a concentrar o acesso à cota e a negociar condições com quem produz. Produtores devem avaliar contratos de fornecimento que contemplem esse cenário.</w:t>
      </w:r>
    </w:p>
    <w:p>
      <w:pPr>
        <w:pStyle w:val="BodyText"/>
      </w:pPr>
      <w:r>
        <w:rPr>
          <w:bCs/>
          <w:b/>
        </w:rPr>
        <w:t xml:space="preserve">Sinal estratégico.</w:t>
      </w:r>
      <w:r>
        <w:t xml:space="preserve"> </w:t>
      </w:r>
      <w:r>
        <w:t xml:space="preserve">A Noruega é porta de entrada para um bloco com quatro economias de alta renda. A experiência operacional de 2026 será o precedente para as cotas dos próximos anos e dos demais países da EFTA, quando entrarem em vigor.</w:t>
      </w:r>
    </w:p>
    <w:bookmarkEnd w:id="24"/>
    <w:bookmarkStart w:id="25" w:name="riscos-e-cuidados-contratuais"/>
    <w:p>
      <w:pPr>
        <w:pStyle w:val="Heading2"/>
      </w:pPr>
      <w:r>
        <w:t xml:space="preserve">5. Riscos e cuidados contratuais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Risco de cota esgotada.</w:t>
      </w:r>
      <w:r>
        <w:t xml:space="preserve"> </w:t>
      </w:r>
      <w:r>
        <w:t xml:space="preserve">Contratos de compra e venda internacional devem definir quem suporta a diferença se a preferência não for obtida: preço fixo, preço com revisão ou condição suspensiva.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Prazo de 60 dias.</w:t>
      </w:r>
      <w:r>
        <w:t xml:space="preserve"> </w:t>
      </w:r>
      <w:r>
        <w:t xml:space="preserve">Falhar em vincular a licença devolve o saldo e inutiliza o certificado. Alinhe embarque, despacho e documentação, e preveja multa ou responsabilidade por atraso entre as partes.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Incoterms e momento da transferência de risco.</w:t>
      </w:r>
      <w:r>
        <w:t xml:space="preserve"> </w:t>
      </w:r>
      <w:r>
        <w:t xml:space="preserve">Eles interferem em quem providencia a licença e arca com custos de reprocessamento.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Prova de origem.</w:t>
      </w:r>
      <w:r>
        <w:t xml:space="preserve"> </w:t>
      </w:r>
      <w:r>
        <w:t xml:space="preserve">A preferência depende do cumprimento das regras de origem; mantenha dossiê documental.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Conformidade sanitária e fitossanitária.</w:t>
      </w:r>
      <w:r>
        <w:t xml:space="preserve"> </w:t>
      </w:r>
      <w:r>
        <w:t xml:space="preserve">Requisitos do país importador seguem aplicáveis independentemente da tarifa.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 aduaneiro.</w:t>
      </w:r>
      <w:r>
        <w:t xml:space="preserve"> </w:t>
      </w:r>
      <w:r>
        <w:t xml:space="preserve">Declarações inexatas em LPCO, DUE ou Duimp podem gerar penalidades e perda do benefício.</w:t>
      </w:r>
    </w:p>
    <w:bookmarkEnd w:id="25"/>
    <w:bookmarkStart w:id="26" w:name="checklist-de-preparação"/>
    <w:p>
      <w:pPr>
        <w:pStyle w:val="Heading2"/>
      </w:pPr>
      <w:r>
        <w:t xml:space="preserve">6. Checklist de preparação</w:t>
      </w:r>
    </w:p>
    <w:p>
      <w:pPr>
        <w:numPr>
          <w:ilvl w:val="0"/>
          <w:numId w:val="1004"/>
        </w:numPr>
        <w:pStyle w:val="Compact"/>
      </w:pPr>
      <w:r>
        <w:t xml:space="preserve">Confirmar habilitação da empresa no Portal Único Siscomex e acesso ao módulo LPCO.</w:t>
      </w:r>
    </w:p>
    <w:p>
      <w:pPr>
        <w:numPr>
          <w:ilvl w:val="0"/>
          <w:numId w:val="1004"/>
        </w:numPr>
        <w:pStyle w:val="Compact"/>
      </w:pPr>
      <w:r>
        <w:t xml:space="preserve">Mapear compradores e volumes alvo para a janela inicial de novembro.</w:t>
      </w:r>
    </w:p>
    <w:p>
      <w:pPr>
        <w:numPr>
          <w:ilvl w:val="0"/>
          <w:numId w:val="1004"/>
        </w:numPr>
        <w:pStyle w:val="Compact"/>
      </w:pPr>
      <w:r>
        <w:t xml:space="preserve">Revisar contratos internacionais e incluir cláusulas de cota, prazo e risco de preferência.</w:t>
      </w:r>
    </w:p>
    <w:p>
      <w:pPr>
        <w:numPr>
          <w:ilvl w:val="0"/>
          <w:numId w:val="1004"/>
        </w:numPr>
        <w:pStyle w:val="Compact"/>
      </w:pPr>
      <w:r>
        <w:t xml:space="preserve">Montar dossiê de origem e requisitos sanitários.</w:t>
      </w:r>
    </w:p>
    <w:p>
      <w:pPr>
        <w:numPr>
          <w:ilvl w:val="0"/>
          <w:numId w:val="1004"/>
        </w:numPr>
        <w:pStyle w:val="Compact"/>
      </w:pPr>
      <w:r>
        <w:t xml:space="preserve">Acompanhar o DOU para confirmar o ato aplicável e eventuais ajustes.</w:t>
      </w:r>
    </w:p>
    <w:bookmarkEnd w:id="26"/>
    <w:bookmarkStart w:id="27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O acordo Mercosul–EFTA abre uma janela de acesso a mercados de alta renda, mas a preferência tarifária só vira resultado para quem estiver operacionalmente pronto. Em um sistema em que a ordem dos pedidos importa e os prazos são curtos, o planejamento jurídico e logístico anterior ao dia 1º de novembro faz parte da estratégia comercial.</w:t>
      </w:r>
    </w:p>
    <w:p>
      <w:pPr>
        <w:pStyle w:val="BodyText"/>
      </w:pPr>
      <w:r>
        <w:rPr>
          <w:iCs/>
          <w:i/>
        </w:rPr>
        <w:t xml:space="preserve">Texto informativo, sem caráter de consultoria individual. As leituras de mercado são análises do autor. Confirme as normas vigentes no DOU e no Portal Único Siscomex.</w:t>
      </w:r>
    </w:p>
    <w:p>
      <w:pPr>
        <w:pStyle w:val="BodyText"/>
      </w:pPr>
      <w:r>
        <w:rPr>
          <w:bCs/>
          <w:b/>
        </w:rPr>
        <w:t xml:space="preserve">Fontes:</w:t>
      </w:r>
      <w:r>
        <w:t xml:space="preserve"> </w:t>
      </w:r>
      <w:r>
        <w:t xml:space="preserve">MDIC (gov.br/mdic), notícias de 2 e 20/10/2026.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Mercosul–EFTA: quem chegar primeiro leva a cota. O que exportadores e importadores precisam fazer antes de 1º de novembro</dc:title>
  <dc:creator/>
  <cp:keywords/>
  <dcterms:created xsi:type="dcterms:W3CDTF">2026-10-23T18:03:54Z</dcterms:created>
  <dcterms:modified xsi:type="dcterms:W3CDTF">2026-10-23T18:03:54Z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