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Simples</w:t>
      </w:r>
      <w:r>
        <w:t xml:space="preserve"> </w:t>
      </w:r>
      <w:r>
        <w:t xml:space="preserve">Nacional</w:t>
      </w:r>
      <w:r>
        <w:t xml:space="preserve"> </w:t>
      </w:r>
      <w:r>
        <w:t xml:space="preserve">e</w:t>
      </w:r>
      <w:r>
        <w:t xml:space="preserve"> </w:t>
      </w:r>
      <w:r>
        <w:t xml:space="preserve">IBS/CBS:</w:t>
      </w:r>
      <w:r>
        <w:t xml:space="preserve"> </w:t>
      </w:r>
      <w:r>
        <w:t xml:space="preserve">a</w:t>
      </w:r>
      <w:r>
        <w:t xml:space="preserve"> </w:t>
      </w:r>
      <w:r>
        <w:t xml:space="preserve">decisão</w:t>
      </w:r>
      <w:r>
        <w:t xml:space="preserve"> </w:t>
      </w:r>
      <w:r>
        <w:t xml:space="preserve">que</w:t>
      </w:r>
      <w:r>
        <w:t xml:space="preserve"> </w:t>
      </w:r>
      <w:r>
        <w:t xml:space="preserve">vence</w:t>
      </w:r>
      <w:r>
        <w:t xml:space="preserve"> </w:t>
      </w:r>
      <w:r>
        <w:t xml:space="preserve">em</w:t>
      </w:r>
      <w:r>
        <w:t xml:space="preserve"> </w:t>
      </w:r>
      <w:r>
        <w:t xml:space="preserve">30</w:t>
      </w:r>
      <w:r>
        <w:t xml:space="preserve"> </w:t>
      </w:r>
      <w:r>
        <w:t xml:space="preserve">de</w:t>
      </w:r>
      <w:r>
        <w:t xml:space="preserve"> </w:t>
      </w:r>
      <w:r>
        <w:t xml:space="preserve">outubro</w:t>
      </w:r>
      <w:r>
        <w:t xml:space="preserve"> </w:t>
      </w:r>
      <w:r>
        <w:t xml:space="preserve">e</w:t>
      </w:r>
      <w:r>
        <w:t xml:space="preserve"> </w:t>
      </w:r>
      <w:r>
        <w:t xml:space="preserve">que</w:t>
      </w:r>
      <w:r>
        <w:t xml:space="preserve"> </w:t>
      </w:r>
      <w:r>
        <w:t xml:space="preserve">pode</w:t>
      </w:r>
      <w:r>
        <w:t xml:space="preserve"> </w:t>
      </w:r>
      <w:r>
        <w:t xml:space="preserve">redefinir</w:t>
      </w:r>
      <w:r>
        <w:t xml:space="preserve"> </w:t>
      </w:r>
      <w:r>
        <w:t xml:space="preserve">o</w:t>
      </w:r>
      <w:r>
        <w:t xml:space="preserve"> </w:t>
      </w:r>
      <w:r>
        <w:t xml:space="preserve">seu</w:t>
      </w:r>
      <w:r>
        <w:t xml:space="preserve"> </w:t>
      </w:r>
      <w:r>
        <w:t xml:space="preserve">preço</w:t>
      </w:r>
      <w:r>
        <w:t xml:space="preserve"> </w:t>
      </w:r>
      <w:r>
        <w:t xml:space="preserve">em</w:t>
      </w:r>
      <w:r>
        <w:t xml:space="preserve"> </w:t>
      </w:r>
      <w:r>
        <w:t xml:space="preserve">2027</w:t>
      </w:r>
    </w:p>
    <w:p>
      <w:pPr>
        <w:pStyle w:val="FirstParagraph"/>
      </w:pPr>
      <w:r>
        <w:rPr>
          <w:iCs/>
          <w:i/>
        </w:rPr>
        <w:t xml:space="preserve">Análise jurídico-tributária e de mercado para empresas optantes pelo Simples Nacional</w:t>
      </w:r>
    </w:p>
    <w:bookmarkStart w:id="20" w:name="resumo-executivo"/>
    <w:p>
      <w:pPr>
        <w:pStyle w:val="Heading2"/>
      </w:pPr>
      <w:r>
        <w:t xml:space="preserve">Resumo executivo</w:t>
      </w:r>
    </w:p>
    <w:p>
      <w:pPr>
        <w:pStyle w:val="FirstParagraph"/>
      </w:pPr>
      <w:r>
        <w:t xml:space="preserve">Empresas do Simples Nacional têm até</w:t>
      </w:r>
      <w:r>
        <w:t xml:space="preserve"> </w:t>
      </w:r>
      <w:r>
        <w:rPr>
          <w:bCs/>
          <w:b/>
        </w:rPr>
        <w:t xml:space="preserve">30 de outubro de 2026</w:t>
      </w:r>
      <w:r>
        <w:t xml:space="preserve"> </w:t>
      </w:r>
      <w:r>
        <w:t xml:space="preserve">para decidir se recolherão IBS e CBS pelo</w:t>
      </w:r>
      <w:r>
        <w:t xml:space="preserve"> </w:t>
      </w:r>
      <w:r>
        <w:rPr>
          <w:bCs/>
          <w:b/>
        </w:rPr>
        <w:t xml:space="preserve">regime regular</w:t>
      </w:r>
      <w:r>
        <w:t xml:space="preserve"> </w:t>
      </w:r>
      <w:r>
        <w:t xml:space="preserve">a partir de 1º de janeiro de 2027, conforme a Resolução CGSN nº 194/2026, que prorrogou o prazo original de 30 de setembro. Quem não opta continua com IBS e CBS dentro do DAS. A decisão parece formal, mas é estratégica: ela mexe na capacidade de a empresa</w:t>
      </w:r>
      <w:r>
        <w:t xml:space="preserve"> </w:t>
      </w:r>
      <w:r>
        <w:rPr>
          <w:bCs/>
          <w:b/>
        </w:rPr>
        <w:t xml:space="preserve">transferir crédito a clientes pessoas jurídicas</w:t>
      </w:r>
      <w:r>
        <w:t xml:space="preserve">, na formação de preço, no caixa e na rotina fiscal. Em números oficiais, até 20 de outubro a Receita Federal contabilizava cerca de 917 mil solicitações de opção pelo regime regular, um volume que indica que parte do mercado já enxergou a vantagem competitiva do crédito.</w:t>
      </w:r>
    </w:p>
    <w:bookmarkEnd w:id="20"/>
    <w:bookmarkStart w:id="21" w:name="o-que-muda-e-por-que-o-prazo-importa"/>
    <w:p>
      <w:pPr>
        <w:pStyle w:val="Heading2"/>
      </w:pPr>
      <w:r>
        <w:t xml:space="preserve">1. O que muda e por que o prazo importa</w:t>
      </w:r>
    </w:p>
    <w:p>
      <w:pPr>
        <w:pStyle w:val="FirstParagraph"/>
      </w:pPr>
      <w:r>
        <w:t xml:space="preserve">Até aqui, o Simples Nacional era uma escolha de simplicidade: uma guia única, alíquota conhecida, pouca apuração. A reforma tributária introduz uma variável nova. IBS e CBS são tributos não cumulativos, em que o imposto pago em uma etapa gera crédito na seguinte. O optante do Simples que permanece no DAS transfere ao comprador, em regra, apenas o crédito correspondente ao que foi efetivamente recolhido dentro do Simples. O optante pelo regime regular recolhe IBS e CBS por apuração própria e transfere crédito cheio, conforme as alíquotas incidentes na operação.</w:t>
      </w:r>
    </w:p>
    <w:p>
      <w:pPr>
        <w:pStyle w:val="BodyText"/>
      </w:pPr>
      <w:r>
        <w:t xml:space="preserve">Em termos práticos, a empresa passa a ter</w:t>
      </w:r>
      <w:r>
        <w:t xml:space="preserve"> </w:t>
      </w:r>
      <w:r>
        <w:rPr>
          <w:bCs/>
          <w:b/>
        </w:rPr>
        <w:t xml:space="preserve">dois produtos tributários</w:t>
      </w:r>
      <w:r>
        <w:t xml:space="preserve"> </w:t>
      </w:r>
      <w:r>
        <w:t xml:space="preserve">diante do mercado: um com crédito reduzido e outro com crédito integral. O comprador PJ percebe a diferença na planilha de custos.</w:t>
      </w:r>
    </w:p>
    <w:p>
      <w:pPr>
        <w:pStyle w:val="BodyText"/>
      </w:pPr>
      <w:r>
        <w:t xml:space="preserve">Os efeitos valem a partir de 1º de janeiro de 2027, e a opção é feita no Portal do Simples Nacional, com conta gov.br de nível prata ou ouro. Por isso, não convém deixar a decisão para o último dia: falhas de acesso ou de cadastro podem inviabilizar a escolha.</w:t>
      </w:r>
    </w:p>
    <w:bookmarkEnd w:id="21"/>
    <w:bookmarkStart w:id="22" w:name="cinco-perguntas-que-ordenam-a-decisão"/>
    <w:p>
      <w:pPr>
        <w:pStyle w:val="Heading2"/>
      </w:pPr>
      <w:r>
        <w:t xml:space="preserve">2. Cinco perguntas que ordenam a decisão</w:t>
      </w:r>
    </w:p>
    <w:p>
      <w:pPr>
        <w:pStyle w:val="FirstParagraph"/>
      </w:pPr>
      <w:r>
        <w:rPr>
          <w:bCs/>
          <w:b/>
        </w:rPr>
        <w:t xml:space="preserve">a) Quem é o seu cliente?</w:t>
      </w:r>
      <w:r>
        <w:t xml:space="preserve"> </w:t>
      </w:r>
      <w:r>
        <w:t xml:space="preserve">Esta é a pergunta central. Se a carteira é majoritariamente de pessoas jurídicas que apuram IBS/CBS pelo regime regular, o crédito que você transfere compõe o custo de aquisição dele. Um fornecedor que entrega crédito menor tende a ser pressionado a reduzir preço para compensar. Se a carteira é de consumidores finais, o crédito é irrelevante para o comprador, e a vantagem do regime regular se resume ao seu próprio aproveitamento de créditos.</w:t>
      </w:r>
    </w:p>
    <w:p>
      <w:pPr>
        <w:pStyle w:val="BodyText"/>
      </w:pPr>
      <w:r>
        <w:rPr>
          <w:bCs/>
          <w:b/>
        </w:rPr>
        <w:t xml:space="preserve">b) Qual o peso de insumos e investimentos tributados na sua estrutura?</w:t>
      </w:r>
      <w:r>
        <w:t xml:space="preserve"> </w:t>
      </w:r>
      <w:r>
        <w:t xml:space="preserve">Empresas com muitos insumos, mercadorias para revenda, fretes e ativos adquiridos de contribuintes do regime regular aproveitam mais crédito. Já empresas de serviços intensivos em mão de obra, em que a folha não gera crédito, têm menos a recuperar e podem ver pouca ou nenhuma vantagem na migração.</w:t>
      </w:r>
    </w:p>
    <w:p>
      <w:pPr>
        <w:pStyle w:val="BodyText"/>
      </w:pPr>
      <w:r>
        <w:rPr>
          <w:bCs/>
          <w:b/>
        </w:rPr>
        <w:t xml:space="preserve">c) Qual a sua margem?</w:t>
      </w:r>
      <w:r>
        <w:t xml:space="preserve"> </w:t>
      </w:r>
      <w:r>
        <w:t xml:space="preserve">Quanto menor a margem, mais sensível a empresa é a qualquer diferença de carga ou de preço. Em margens apertadas, perder um cliente PJ por causa do crédito menor custa mais do que a complexidade administrativa do regime regular.</w:t>
      </w:r>
    </w:p>
    <w:p>
      <w:pPr>
        <w:pStyle w:val="BodyText"/>
      </w:pPr>
      <w:r>
        <w:rPr>
          <w:bCs/>
          <w:b/>
        </w:rPr>
        <w:t xml:space="preserve">d) A estrutura administrativa aguenta?</w:t>
      </w:r>
      <w:r>
        <w:t xml:space="preserve"> </w:t>
      </w:r>
      <w:r>
        <w:t xml:space="preserve">O regime regular exige apuração própria, escrituração e emissão de documentos fiscais com as novas informações. Se a empresa depende de um contador que ainda não se preparou, o custo e o risco de erro entram na conta.</w:t>
      </w:r>
    </w:p>
    <w:p>
      <w:pPr>
        <w:pStyle w:val="BodyText"/>
      </w:pPr>
      <w:r>
        <w:rPr>
          <w:bCs/>
          <w:b/>
        </w:rPr>
        <w:t xml:space="preserve">e) Há dependência de contratos de longo prazo?</w:t>
      </w:r>
      <w:r>
        <w:t xml:space="preserve"> </w:t>
      </w:r>
      <w:r>
        <w:t xml:space="preserve">Contratos com preço fixo e com cláusula de repasse tributário precisam ser lidos antes da decisão. Uma mudança de regime pode ativar, ou frustrar, mecanismos de reequilíbrio.</w:t>
      </w:r>
    </w:p>
    <w:bookmarkEnd w:id="22"/>
    <w:bookmarkStart w:id="23" w:name="insights-de-mercado"/>
    <w:p>
      <w:pPr>
        <w:pStyle w:val="Heading2"/>
      </w:pPr>
      <w:r>
        <w:t xml:space="preserve">3. Insights de mercado</w:t>
      </w:r>
    </w:p>
    <w:p>
      <w:pPr>
        <w:pStyle w:val="FirstParagraph"/>
      </w:pPr>
      <w:r>
        <w:rPr>
          <w:bCs/>
          <w:b/>
        </w:rPr>
        <w:t xml:space="preserve">O crédito virá a ser argumento comercial.</w:t>
      </w:r>
      <w:r>
        <w:t xml:space="preserve"> </w:t>
      </w:r>
      <w:r>
        <w:t xml:space="preserve">Na prática, o regime de tributação deixará de ser assunto interno e passará a constar de negociação, cadastro de fornecedores e</w:t>
      </w:r>
      <w:r>
        <w:t xml:space="preserve"> </w:t>
      </w:r>
      <w:r>
        <w:rPr>
          <w:iCs/>
          <w:i/>
        </w:rPr>
        <w:t xml:space="preserve">scorecards</w:t>
      </w:r>
      <w:r>
        <w:t xml:space="preserve"> </w:t>
      </w:r>
      <w:r>
        <w:t xml:space="preserve">de compras. Grandes compradores tendem a perguntar a seus fornecedores qual regime adotaram. É uma leitura de mercado, não uma regra legal, mas a lógica de custos a sustenta.</w:t>
      </w:r>
    </w:p>
    <w:p>
      <w:pPr>
        <w:pStyle w:val="BodyText"/>
      </w:pPr>
      <w:r>
        <w:rPr>
          <w:bCs/>
          <w:b/>
        </w:rPr>
        <w:t xml:space="preserve">Setores B2B tendem a sentir primeiro.</w:t>
      </w:r>
      <w:r>
        <w:t xml:space="preserve"> </w:t>
      </w:r>
      <w:r>
        <w:t xml:space="preserve">Indústria que fornece a outras indústrias, distribuição atacadista, agronegócio em cadeias integradas, tecnologia vendida a empresas e serviços corporativos de alto valor são os candidatos naturais à análise do regime regular. Varejo de consumo final e serviços pessoais tendem a ter menos incentivo.</w:t>
      </w:r>
    </w:p>
    <w:p>
      <w:pPr>
        <w:pStyle w:val="BodyText"/>
      </w:pPr>
      <w:r>
        <w:rPr>
          <w:bCs/>
          <w:b/>
        </w:rPr>
        <w:t xml:space="preserve">Há uma assimetria de informação.</w:t>
      </w:r>
      <w:r>
        <w:t xml:space="preserve"> </w:t>
      </w:r>
      <w:r>
        <w:t xml:space="preserve">Muitas micro e pequenas empresas ainda não simularam. Quem fizer a conta com dados reais ganha vantagem: ou protege uma carteira B2B, ou evita uma complexidade que não se paga.</w:t>
      </w:r>
    </w:p>
    <w:p>
      <w:pPr>
        <w:pStyle w:val="BodyText"/>
      </w:pPr>
      <w:r>
        <w:rPr>
          <w:bCs/>
          <w:b/>
        </w:rPr>
        <w:t xml:space="preserve">A decisão não é só tributária.</w:t>
      </w:r>
      <w:r>
        <w:t xml:space="preserve"> </w:t>
      </w:r>
      <w:r>
        <w:t xml:space="preserve">Ela envolve precificação, comercial, contratos e financeiro. Empresas que tratam o tema como</w:t>
      </w:r>
      <w:r>
        <w:t xml:space="preserve"> </w:t>
      </w:r>
      <w:r>
        <w:t xml:space="preserve">“</w:t>
      </w:r>
      <w:r>
        <w:t xml:space="preserve">tarefa do contador</w:t>
      </w:r>
      <w:r>
        <w:t xml:space="preserve">”</w:t>
      </w:r>
      <w:r>
        <w:t xml:space="preserve"> </w:t>
      </w:r>
      <w:r>
        <w:t xml:space="preserve">tendem a decidir por inércia.</w:t>
      </w:r>
    </w:p>
    <w:bookmarkEnd w:id="23"/>
    <w:bookmarkStart w:id="24" w:name="riscos-e-cuidados-jurídicos"/>
    <w:p>
      <w:pPr>
        <w:pStyle w:val="Heading2"/>
      </w:pPr>
      <w:r>
        <w:t xml:space="preserve">4. Riscos e cuidados jurídicos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Decisão por inércia.</w:t>
      </w:r>
      <w:r>
        <w:t xml:space="preserve"> </w:t>
      </w:r>
      <w:r>
        <w:t xml:space="preserve">Não agir também é decidir: a empresa segue no DAS, com a consequência competitiva descrita acima.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Contratos.</w:t>
      </w:r>
      <w:r>
        <w:t xml:space="preserve"> </w:t>
      </w:r>
      <w:r>
        <w:t xml:space="preserve">Revise cláusulas de preço, repasse de tributos, reajuste e equilíbrio econômico-financeiro, sobretudo em contratos de fornecimento contínuo com clientes PJ. Considere aditivos que prevejam a hipótese de mudança de regime.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Enquadramento.</w:t>
      </w:r>
      <w:r>
        <w:t xml:space="preserve"> </w:t>
      </w:r>
      <w:r>
        <w:t xml:space="preserve">O pedido de ingresso no Simples para 2027 encerrou em 15 de outubro. Segundo a Receita, pedidos indeferidos por pendência ainda podem ser regularizados até 30 de outubro.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Reversibilidade.</w:t>
      </w:r>
      <w:r>
        <w:t xml:space="preserve"> </w:t>
      </w:r>
      <w:r>
        <w:t xml:space="preserve">As fontes consultadas indicam que a opção pode ser desfeita, de forma irretratável, entre 3 de novembro e 20 de dezembro de 2026. Isso dá uma janela de reflexão, mas não deve ser tratada como plano B: confirme as condições no Portal do Simples Nacional antes de contar com ela.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Documentação fiscal.</w:t>
      </w:r>
      <w:r>
        <w:t xml:space="preserve"> </w:t>
      </w:r>
      <w:r>
        <w:t xml:space="preserve">O ambiente de documentos fiscais já está mudando; a Receita informou que a maior parte das empresas obrigadas já exibe a CBS nas notas. Sistemas de emissão precisam estar prontos.</w:t>
      </w:r>
    </w:p>
    <w:bookmarkEnd w:id="24"/>
    <w:bookmarkStart w:id="25" w:name="roteiro-prático-para-esta-semana"/>
    <w:p>
      <w:pPr>
        <w:pStyle w:val="Heading2"/>
      </w:pPr>
      <w:r>
        <w:t xml:space="preserve">5. Roteiro prático para esta semana</w:t>
      </w:r>
    </w:p>
    <w:p>
      <w:pPr>
        <w:numPr>
          <w:ilvl w:val="0"/>
          <w:numId w:val="1002"/>
        </w:numPr>
        <w:pStyle w:val="Compact"/>
      </w:pPr>
      <w:r>
        <w:t xml:space="preserve">Levante os dez maiores clientes por faturamento e classifique-os: PJ no regime regular, PJ no Simples ou consumidor final.</w:t>
      </w:r>
    </w:p>
    <w:p>
      <w:pPr>
        <w:numPr>
          <w:ilvl w:val="0"/>
          <w:numId w:val="1002"/>
        </w:numPr>
        <w:pStyle w:val="Compact"/>
      </w:pPr>
      <w:r>
        <w:t xml:space="preserve">Levante os principais fornecedores e a parcela de compras tributada que geraria crédito.</w:t>
      </w:r>
    </w:p>
    <w:p>
      <w:pPr>
        <w:numPr>
          <w:ilvl w:val="0"/>
          <w:numId w:val="1002"/>
        </w:numPr>
        <w:pStyle w:val="Compact"/>
      </w:pPr>
      <w:r>
        <w:t xml:space="preserve">Peça ao contador uma simulação comparativa de carga em 2027, com e sem a opção.</w:t>
      </w:r>
    </w:p>
    <w:p>
      <w:pPr>
        <w:numPr>
          <w:ilvl w:val="0"/>
          <w:numId w:val="1002"/>
        </w:numPr>
        <w:pStyle w:val="Compact"/>
      </w:pPr>
      <w:r>
        <w:t xml:space="preserve">Consulte o jurídico sobre os contratos relevantes.</w:t>
      </w:r>
    </w:p>
    <w:p>
      <w:pPr>
        <w:numPr>
          <w:ilvl w:val="0"/>
          <w:numId w:val="1002"/>
        </w:numPr>
        <w:pStyle w:val="Compact"/>
      </w:pPr>
      <w:r>
        <w:t xml:space="preserve">Decida e registre a opção no Portal do Simples Nacional com folga, antes do dia 30.</w:t>
      </w:r>
    </w:p>
    <w:bookmarkEnd w:id="25"/>
    <w:bookmarkStart w:id="26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A janela é curta e a decisão tem efeito a partir de janeiro. Para empresas que vendem a outras empresas, o regime regular pode ser instrumento de competitividade; para quem vende ao consumidor final, o DAS pode continuar sendo o caminho mais racional. O que não se recomenda é decidir sem simulação.</w:t>
      </w:r>
    </w:p>
    <w:p>
      <w:pPr>
        <w:pStyle w:val="BodyText"/>
      </w:pPr>
      <w:r>
        <w:rPr>
          <w:iCs/>
          <w:i/>
        </w:rPr>
        <w:t xml:space="preserve">Texto informativo, sem caráter de consultoria individual. As projeções de comportamento de mercado são análises do autor. Confirme datas e condições na Receita Federal e no Portal do Simples Nacional.</w:t>
      </w:r>
    </w:p>
    <w:p>
      <w:pPr>
        <w:pStyle w:val="BodyText"/>
      </w:pPr>
      <w:r>
        <w:rPr>
          <w:bCs/>
          <w:b/>
        </w:rPr>
        <w:t xml:space="preserve">Fontes:</w:t>
      </w:r>
      <w:r>
        <w:t xml:space="preserve"> </w:t>
      </w:r>
      <w:r>
        <w:t xml:space="preserve">Ministério da Fazenda e Receita Federal (gov.br); Resolução CGSN nº 194/2026, conforme noticiado por CBIC, Prefeitura de Porto Alegre (SMF) e reformatributaria.com.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Simples Nacional e IBS/CBS: a decisão que vence em 30 de outubro e que pode redefinir o seu preço em 2027</dc:title>
  <dc:creator/>
  <cp:keywords/>
  <dcterms:created xsi:type="dcterms:W3CDTF">2026-10-23T18:03:54Z</dcterms:created>
  <dcterms:modified xsi:type="dcterms:W3CDTF">2026-10-23T18:03:54Z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