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Gecex</w:t>
      </w:r>
      <w:r>
        <w:t xml:space="preserve"> </w:t>
      </w:r>
      <w:r>
        <w:t xml:space="preserve">976/2026:</w:t>
      </w:r>
      <w:r>
        <w:t xml:space="preserve"> </w:t>
      </w:r>
      <w:r>
        <w:t xml:space="preserve">mais</w:t>
      </w:r>
      <w:r>
        <w:t xml:space="preserve"> </w:t>
      </w:r>
      <w:r>
        <w:t xml:space="preserve">produtos</w:t>
      </w:r>
      <w:r>
        <w:t xml:space="preserve"> </w:t>
      </w:r>
      <w:r>
        <w:t xml:space="preserve">na</w:t>
      </w:r>
      <w:r>
        <w:t xml:space="preserve"> </w:t>
      </w:r>
      <w:r>
        <w:t xml:space="preserve">lista</w:t>
      </w:r>
      <w:r>
        <w:t xml:space="preserve"> </w:t>
      </w:r>
      <w:r>
        <w:t xml:space="preserve">de</w:t>
      </w:r>
      <w:r>
        <w:t xml:space="preserve"> </w:t>
      </w:r>
      <w:r>
        <w:t xml:space="preserve">aumento</w:t>
      </w:r>
      <w:r>
        <w:t xml:space="preserve"> </w:t>
      </w:r>
      <w:r>
        <w:t xml:space="preserve">tarifário</w:t>
      </w:r>
      <w:r>
        <w:t xml:space="preserve"> </w:t>
      </w:r>
      <w:r>
        <w:t xml:space="preserve">por</w:t>
      </w:r>
      <w:r>
        <w:t xml:space="preserve"> </w:t>
      </w:r>
      <w:r>
        <w:t xml:space="preserve">desequilíbrio</w:t>
      </w:r>
      <w:r>
        <w:t xml:space="preserve"> </w:t>
      </w:r>
      <w:r>
        <w:t xml:space="preserve">comercial.</w:t>
      </w:r>
      <w:r>
        <w:t xml:space="preserve"> </w:t>
      </w:r>
      <w:r>
        <w:t xml:space="preserve">O</w:t>
      </w:r>
      <w:r>
        <w:t xml:space="preserve"> </w:t>
      </w:r>
      <w:r>
        <w:t xml:space="preserve">importador</w:t>
      </w:r>
      <w:r>
        <w:t xml:space="preserve"> </w:t>
      </w:r>
      <w:r>
        <w:t xml:space="preserve">precisa</w:t>
      </w:r>
      <w:r>
        <w:t xml:space="preserve"> </w:t>
      </w:r>
      <w:r>
        <w:t xml:space="preserve">conferir</w:t>
      </w:r>
      <w:r>
        <w:t xml:space="preserve"> </w:t>
      </w:r>
      <w:r>
        <w:t xml:space="preserve">o</w:t>
      </w:r>
      <w:r>
        <w:t xml:space="preserve"> </w:t>
      </w:r>
      <w:r>
        <w:t xml:space="preserve">NCM</w:t>
      </w:r>
    </w:p>
    <w:p>
      <w:pPr>
        <w:pStyle w:val="FirstParagraph"/>
      </w:pPr>
      <w:r>
        <w:t xml:space="preserve">A Resolução Gecex nº 976, de 26 de outubro de 2026, incluiu novos produtos na lista de aumentos tarifários por desequilíbrios comerciais causados pelo ambiente econômico internacional. O texto foi republicado por conter erros na edição de 27 de outubro. Antes dela, a Resolução Gecex nº 963, de 2 de outubro, já havia ampliado a mesma lista (e recebeu retificação).</w:t>
      </w:r>
    </w:p>
    <w:p>
      <w:pPr>
        <w:pStyle w:val="BodyText"/>
      </w:pPr>
      <w:r>
        <w:t xml:space="preserve">Para o importador, a notícia pede uma providência simples e urgente: conferir se algum NCM da sua pauta entrou na lista.</w:t>
      </w:r>
    </w:p>
    <w:bookmarkStart w:id="20" w:name="o-que-a-norma-faz"/>
    <w:p>
      <w:pPr>
        <w:pStyle w:val="Heading2"/>
      </w:pPr>
      <w:r>
        <w:t xml:space="preserve">O que a norma faz</w:t>
      </w:r>
    </w:p>
    <w:p>
      <w:pPr>
        <w:pStyle w:val="FirstParagraph"/>
      </w:pPr>
      <w:r>
        <w:t xml:space="preserve">Conforme a página de resoluções da Camex, a Gecex 976 acrescenta produtos à lista de elevação de alíquotas do Imposto de Importação. Trata-se de instrumento de defesa comercial por desequilíbrio, e não de antidumping. A lista completa de NCMs e alíquotas está no texto da resolução, que deve ser lido no Diário Oficial da União e não em resumos.</w:t>
      </w:r>
    </w:p>
    <w:bookmarkEnd w:id="20"/>
    <w:bookmarkStart w:id="21" w:name="outros-atos-recentes-de-outubro"/>
    <w:p>
      <w:pPr>
        <w:pStyle w:val="Heading2"/>
      </w:pPr>
      <w:r>
        <w:t xml:space="preserve">Outros atos recentes de outubro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Gecex 975 (19/10):</w:t>
      </w:r>
      <w:r>
        <w:t xml:space="preserve"> </w:t>
      </w:r>
      <w:r>
        <w:t xml:space="preserve">inclui produtos na lista de reduções tarifárias por desabastecimento, nos termos da Resolução GMC 49/19 do Mercosul.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Gecex 969 (2/10):</w:t>
      </w:r>
      <w:r>
        <w:t xml:space="preserve"> </w:t>
      </w:r>
      <w:r>
        <w:t xml:space="preserve">inclui produtos na Lista de Exceções à Tarifa Externa Comum.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Gecex 970 a 974 (6/10):</w:t>
      </w:r>
      <w:r>
        <w:t xml:space="preserve"> </w:t>
      </w:r>
      <w:r>
        <w:t xml:space="preserve">concessão, alteração e revogação de ex-tarifários de bens de capital, informática e telecomunicações, e autopeças.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Gecex 964 a 968 (2/10):</w:t>
      </w:r>
      <w:r>
        <w:t xml:space="preserve"> </w:t>
      </w:r>
      <w:r>
        <w:t xml:space="preserve">decisões sobre pedidos de reconsideração de direitos antidumping, incluindo laminados planos de aço carbono e revestidos da China, fio de poliéster e fio de náilon.</w:t>
      </w:r>
    </w:p>
    <w:bookmarkEnd w:id="21"/>
    <w:bookmarkStart w:id="22" w:name="cinco-providências-práticas"/>
    <w:p>
      <w:pPr>
        <w:pStyle w:val="Heading2"/>
      </w:pPr>
      <w:r>
        <w:t xml:space="preserve">Cinco providências práticas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Cruzar a pauta de importação</w:t>
      </w:r>
      <w:r>
        <w:t xml:space="preserve"> </w:t>
      </w:r>
      <w:r>
        <w:t xml:space="preserve">(NCM por NCM) com o anexo da Gecex 976.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Verificar vigência:</w:t>
      </w:r>
      <w:r>
        <w:t xml:space="preserve"> </w:t>
      </w:r>
      <w:r>
        <w:t xml:space="preserve">aplicam-se à mercadoria as regras de data do registro da declaração de importação, e é preciso checar o texto sobre eventuais exceções, quotas ou prazos.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Revisar preços e contratos:</w:t>
      </w:r>
      <w:r>
        <w:t xml:space="preserve"> </w:t>
      </w:r>
      <w:r>
        <w:t xml:space="preserve">contratos de fornecimento com preço fixo e Incoterms que atribuam o custo tributário ao importador podem pedir renegociação.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Avaliar ex-tarifário e alternativas:</w:t>
      </w:r>
      <w:r>
        <w:t xml:space="preserve"> </w:t>
      </w:r>
      <w:r>
        <w:t xml:space="preserve">bens de capital podem ter regime próprio.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Planejar estoque e cronograma de embarques</w:t>
      </w:r>
      <w:r>
        <w:t xml:space="preserve"> </w:t>
      </w:r>
      <w:r>
        <w:t xml:space="preserve">conforme a data de vigência.</w:t>
      </w:r>
    </w:p>
    <w:p>
      <w:pPr>
        <w:pStyle w:val="BlockText"/>
      </w:pPr>
      <w:r>
        <w:t xml:space="preserve">Ponto de atenção: a Gecex 976 foi republicada. Use sempre a versão corrigida.</w:t>
      </w:r>
    </w:p>
    <w:bookmarkEnd w:id="22"/>
    <w:bookmarkStart w:id="23" w:name="limite-desta-análise"/>
    <w:p>
      <w:pPr>
        <w:pStyle w:val="Heading2"/>
      </w:pPr>
      <w:r>
        <w:t xml:space="preserve">Limite desta análise</w:t>
      </w:r>
    </w:p>
    <w:p>
      <w:pPr>
        <w:pStyle w:val="FirstParagraph"/>
      </w:pPr>
      <w:r>
        <w:t xml:space="preserve">Este artigo se baseia na ementa publicada pela Camex. A lista de produtos e as alíquotas devem ser consultadas no texto oficial antes de qualquer decisão.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Gecex 976/2026: mais produtos na lista de aumento tarifário por desequilíbrio comercial. O importador precisa conferir o NCM</dc:title>
  <dc:creator/>
  <cp:keywords/>
  <dcterms:created xsi:type="dcterms:W3CDTF">2026-11-01T21:42:22Z</dcterms:created>
  <dcterms:modified xsi:type="dcterms:W3CDTF">2026-11-01T21:42:22Z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