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Nanoempreendedor</w:t>
      </w:r>
      <w:r>
        <w:t xml:space="preserve"> </w:t>
      </w:r>
      <w:r>
        <w:t xml:space="preserve">sem</w:t>
      </w:r>
      <w:r>
        <w:t xml:space="preserve"> </w:t>
      </w:r>
      <w:r>
        <w:t xml:space="preserve">CNPJ</w:t>
      </w:r>
      <w:r>
        <w:t xml:space="preserve"> </w:t>
      </w:r>
      <w:r>
        <w:t xml:space="preserve">e</w:t>
      </w:r>
      <w:r>
        <w:t xml:space="preserve"> </w:t>
      </w:r>
      <w:r>
        <w:t xml:space="preserve">MEI</w:t>
      </w:r>
      <w:r>
        <w:t xml:space="preserve"> </w:t>
      </w:r>
      <w:r>
        <w:t xml:space="preserve">com</w:t>
      </w:r>
      <w:r>
        <w:t xml:space="preserve"> </w:t>
      </w:r>
      <w:r>
        <w:t xml:space="preserve">DASN-Simei</w:t>
      </w:r>
      <w:r>
        <w:t xml:space="preserve"> </w:t>
      </w:r>
      <w:r>
        <w:t xml:space="preserve">como</w:t>
      </w:r>
      <w:r>
        <w:t xml:space="preserve"> </w:t>
      </w:r>
      <w:r>
        <w:t xml:space="preserve">nota:</w:t>
      </w:r>
      <w:r>
        <w:t xml:space="preserve"> </w:t>
      </w:r>
      <w:r>
        <w:t xml:space="preserve">o</w:t>
      </w:r>
      <w:r>
        <w:t xml:space="preserve"> </w:t>
      </w:r>
      <w:r>
        <w:t xml:space="preserve">que</w:t>
      </w:r>
      <w:r>
        <w:t xml:space="preserve"> </w:t>
      </w:r>
      <w:r>
        <w:t xml:space="preserve">muda</w:t>
      </w:r>
      <w:r>
        <w:t xml:space="preserve"> </w:t>
      </w:r>
      <w:r>
        <w:t xml:space="preserve">na</w:t>
      </w:r>
      <w:r>
        <w:t xml:space="preserve"> </w:t>
      </w:r>
      <w:r>
        <w:t xml:space="preserve">Reforma</w:t>
      </w:r>
      <w:r>
        <w:t xml:space="preserve"> </w:t>
      </w:r>
      <w:r>
        <w:t xml:space="preserve">Tributária</w:t>
      </w:r>
    </w:p>
    <w:p>
      <w:pPr>
        <w:pStyle w:val="Subtitle"/>
      </w:pPr>
      <w:r>
        <w:t xml:space="preserve">Decreto</w:t>
      </w:r>
      <w:r>
        <w:t xml:space="preserve"> </w:t>
      </w:r>
      <w:r>
        <w:t xml:space="preserve">13.140/2026</w:t>
      </w:r>
      <w:r>
        <w:t xml:space="preserve"> </w:t>
      </w:r>
      <w:r>
        <w:t xml:space="preserve">e</w:t>
      </w:r>
      <w:r>
        <w:t xml:space="preserve"> </w:t>
      </w:r>
      <w:r>
        <w:t xml:space="preserve">Resolução</w:t>
      </w:r>
      <w:r>
        <w:t xml:space="preserve"> </w:t>
      </w:r>
      <w:r>
        <w:t xml:space="preserve">CGSN</w:t>
      </w:r>
      <w:r>
        <w:t xml:space="preserve"> </w:t>
      </w:r>
      <w:r>
        <w:t xml:space="preserve">195/2026</w:t>
      </w:r>
      <w:r>
        <w:t xml:space="preserve"> </w:t>
      </w:r>
      <w:r>
        <w:t xml:space="preserve">reduzem</w:t>
      </w:r>
      <w:r>
        <w:t xml:space="preserve"> </w:t>
      </w:r>
      <w:r>
        <w:t xml:space="preserve">obrigações</w:t>
      </w:r>
      <w:r>
        <w:t xml:space="preserve"> </w:t>
      </w:r>
      <w:r>
        <w:t xml:space="preserve">acessórias</w:t>
      </w:r>
      <w:r>
        <w:t xml:space="preserve"> </w:t>
      </w:r>
      <w:r>
        <w:t xml:space="preserve">de</w:t>
      </w:r>
      <w:r>
        <w:t xml:space="preserve"> </w:t>
      </w:r>
      <w:r>
        <w:t xml:space="preserve">IBS</w:t>
      </w:r>
      <w:r>
        <w:t xml:space="preserve"> </w:t>
      </w:r>
      <w:r>
        <w:t xml:space="preserve">e</w:t>
      </w:r>
      <w:r>
        <w:t xml:space="preserve"> </w:t>
      </w:r>
      <w:r>
        <w:t xml:space="preserve">CBS</w:t>
      </w:r>
      <w:r>
        <w:t xml:space="preserve"> </w:t>
      </w:r>
      <w:r>
        <w:t xml:space="preserve">para</w:t>
      </w:r>
      <w:r>
        <w:t xml:space="preserve"> </w:t>
      </w:r>
      <w:r>
        <w:t xml:space="preserve">os</w:t>
      </w:r>
      <w:r>
        <w:t xml:space="preserve"> </w:t>
      </w:r>
      <w:r>
        <w:t xml:space="preserve">menores</w:t>
      </w:r>
      <w:r>
        <w:t xml:space="preserve"> </w:t>
      </w:r>
      <w:r>
        <w:t xml:space="preserve">negócios.</w:t>
      </w:r>
    </w:p>
    <w:p>
      <w:pPr>
        <w:pStyle w:val="FirstParagraph"/>
      </w:pPr>
      <w:r>
        <w:rPr>
          <w:iCs/>
          <w:i/>
        </w:rPr>
        <w:t xml:space="preserve">28 de outubro de 2026</w:t>
      </w:r>
    </w:p>
    <w:p>
      <w:pPr>
        <w:pStyle w:val="BodyText"/>
      </w:pPr>
      <w:r>
        <w:t xml:space="preserve">O Decreto nº 13.140/2026 e a Resolução CGSN nº 195/2026, divulgados pelo Ministério da Fazenda em 23 de outubro, simplificam obrigações da Reforma Tributária para nanoempreendedores e MEIs.</w:t>
      </w:r>
    </w:p>
    <w:bookmarkStart w:id="20" w:name="as-três-mudanças-em-resumo"/>
    <w:p>
      <w:pPr>
        <w:pStyle w:val="Heading2"/>
      </w:pPr>
      <w:r>
        <w:t xml:space="preserve">As três mudanças, em resumo</w:t>
      </w:r>
    </w:p>
    <w:p>
      <w:pPr>
        <w:pStyle w:val="FirstParagraph"/>
      </w:pPr>
      <w:r>
        <w:rPr>
          <w:bCs/>
          <w:b/>
        </w:rPr>
        <w:t xml:space="preserve">1. Dispensa de CNPJ para o nanoempreendedor</w:t>
      </w:r>
      <w:r>
        <w:t xml:space="preserve"> </w:t>
      </w:r>
      <w:r>
        <w:t xml:space="preserve">Quem exerce atividade econômica de pequeno porte e baixa receita, enquadrado como nanoempreendedor, fica dispensado de se inscrever no CNPJ.</w:t>
      </w:r>
    </w:p>
    <w:p>
      <w:pPr>
        <w:pStyle w:val="BodyText"/>
      </w:pPr>
      <w:r>
        <w:rPr>
          <w:bCs/>
          <w:b/>
        </w:rPr>
        <w:t xml:space="preserve">2. Dispensa de nota fiscal eletrônica</w:t>
      </w:r>
      <w:r>
        <w:t xml:space="preserve"> </w:t>
      </w:r>
      <w:r>
        <w:t xml:space="preserve">O nanoempreendedor também fica dispensado de emitir documentos fiscais eletrônicos relativos aos novos tributos sobre o consumo (IBS e CBS).</w:t>
      </w:r>
    </w:p>
    <w:p>
      <w:pPr>
        <w:pStyle w:val="BodyText"/>
      </w:pPr>
      <w:r>
        <w:rPr>
          <w:bCs/>
          <w:b/>
        </w:rPr>
        <w:t xml:space="preserve">3. DASN-Simei como documento fiscal do MEI</w:t>
      </w:r>
      <w:r>
        <w:t xml:space="preserve"> </w:t>
      </w:r>
      <w:r>
        <w:t xml:space="preserve">O MEI poderá usar a declaração anual DASN-Simei como documento fiscal eletrônico nas vendas a pessoas físicas.</w:t>
      </w:r>
    </w:p>
    <w:bookmarkEnd w:id="20"/>
    <w:bookmarkStart w:id="21" w:name="o-que-ainda-precisa-ser-conferido"/>
    <w:p>
      <w:pPr>
        <w:pStyle w:val="Heading2"/>
      </w:pPr>
      <w:r>
        <w:t xml:space="preserve">O que ainda precisa ser conferido</w:t>
      </w:r>
    </w:p>
    <w:p>
      <w:pPr>
        <w:pStyle w:val="FirstParagraph"/>
      </w:pPr>
      <w:r>
        <w:t xml:space="preserve">A notícia oficial não traz o conceito legal de nanoempreendedor, o limite de receita, nem datas de vigência. Atenção: sem esses dados, ninguém deve presumir que está dispensado. Leia o texto do decreto e da resolução (Planalto e Diário Oficial da União) antes de deixar de emitir qualquer documento.</w:t>
      </w:r>
    </w:p>
    <w:bookmarkEnd w:id="21"/>
    <w:bookmarkStart w:id="22" w:name="um-alerta-para-o-mei"/>
    <w:p>
      <w:pPr>
        <w:pStyle w:val="Heading2"/>
      </w:pPr>
      <w:r>
        <w:t xml:space="preserve">Um alerta para o MEI</w:t>
      </w:r>
    </w:p>
    <w:p>
      <w:pPr>
        <w:pStyle w:val="FirstParagraph"/>
      </w:pPr>
      <w:r>
        <w:t xml:space="preserve">A dispensa vale para vendas a pessoas físicas. Se o MEI vende para empresas, o cliente pode exigir documento fiscal para fins de crédito. Vale alinhar isso com os compradores.</w:t>
      </w:r>
    </w:p>
    <w:bookmarkEnd w:id="22"/>
    <w:bookmarkStart w:id="23" w:name="o-que-fazer-agora"/>
    <w:p>
      <w:pPr>
        <w:pStyle w:val="Heading2"/>
      </w:pPr>
      <w:r>
        <w:t xml:space="preserve">O que fazer agora</w:t>
      </w:r>
    </w:p>
    <w:p>
      <w:pPr>
        <w:numPr>
          <w:ilvl w:val="0"/>
          <w:numId w:val="1001"/>
        </w:numPr>
        <w:pStyle w:val="Compact"/>
      </w:pPr>
      <w:r>
        <w:t xml:space="preserve">Verificar se o seu negócio se enquadra na definição de nanoempreendedor.</w:t>
      </w:r>
    </w:p>
    <w:p>
      <w:pPr>
        <w:numPr>
          <w:ilvl w:val="0"/>
          <w:numId w:val="1001"/>
        </w:numPr>
        <w:pStyle w:val="Compact"/>
      </w:pPr>
      <w:r>
        <w:t xml:space="preserve">Se for MEI, separar vendas a pessoas físicas das vendas a empresas.</w:t>
      </w:r>
    </w:p>
    <w:p>
      <w:pPr>
        <w:numPr>
          <w:ilvl w:val="0"/>
          <w:numId w:val="1001"/>
        </w:numPr>
        <w:pStyle w:val="Compact"/>
      </w:pPr>
      <w:r>
        <w:t xml:space="preserve">Ler o decreto e a resolução na íntegra.</w:t>
      </w:r>
    </w:p>
    <w:p>
      <w:pPr>
        <w:numPr>
          <w:ilvl w:val="0"/>
          <w:numId w:val="1001"/>
        </w:numPr>
        <w:pStyle w:val="Compact"/>
      </w:pPr>
      <w:r>
        <w:t xml:space="preserve">Manter o controle de receitas, mesmo quando a emissão de nota for dispensada.</w:t>
      </w:r>
    </w:p>
    <w:bookmarkEnd w:id="23"/>
    <w:bookmarkStart w:id="24" w:name="fontes"/>
    <w:p>
      <w:pPr>
        <w:pStyle w:val="Heading2"/>
      </w:pPr>
      <w:r>
        <w:t xml:space="preserve">Fontes</w:t>
      </w:r>
    </w:p>
    <w:p>
      <w:pPr>
        <w:numPr>
          <w:ilvl w:val="0"/>
          <w:numId w:val="1002"/>
        </w:numPr>
        <w:pStyle w:val="Compact"/>
      </w:pPr>
      <w:r>
        <w:t xml:space="preserve">Ministério da Fazenda,</w:t>
      </w:r>
      <w:r>
        <w:t xml:space="preserve"> </w:t>
      </w:r>
      <w:r>
        <w:t xml:space="preserve">“</w:t>
      </w:r>
      <w:r>
        <w:t xml:space="preserve">Novas medidas simplificam obrigações da Reforma Tributária para nanoempreendedores e MEIs</w:t>
      </w:r>
      <w:r>
        <w:t xml:space="preserve">”</w:t>
      </w:r>
      <w:r>
        <w:t xml:space="preserve"> </w:t>
      </w:r>
      <w:r>
        <w:t xml:space="preserve">(23/10/2026, atualizada em 26/10/2026).</w:t>
      </w:r>
    </w:p>
    <w:p>
      <w:pPr>
        <w:numPr>
          <w:ilvl w:val="0"/>
          <w:numId w:val="1002"/>
        </w:numPr>
        <w:pStyle w:val="Compact"/>
      </w:pPr>
      <w:r>
        <w:t xml:space="preserve">Decreto nº 13.140/2026 e Resolução CGSN nº 195/2026.</w:t>
      </w:r>
    </w:p>
    <w:p>
      <w:pPr>
        <w:pStyle w:val="FirstParagraph"/>
      </w:pPr>
      <w:r>
        <w:t xml:space="preserve">Este texto tem caráter informativo e não substitui a análise do caso concreto.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Nanoempreendedor sem CNPJ e MEI com DASN-Simei como nota: o que muda na Reforma Tributária</dc:title>
  <dc:creator/>
  <cp:keywords/>
  <dcterms:created xsi:type="dcterms:W3CDTF">2026-10-28T21:42:37Z</dcterms:created>
  <dcterms:modified xsi:type="dcterms:W3CDTF">2026-10-28T21:42:37Z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Decreto 13.140/2026 e Resolução CGSN 195/2026 reduzem obrigações acessórias de IBS e CBS para os menores negócios.</vt:lpwstr>
  </property>
</Properties>
</file>