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Em uma linha:</w:t>
      </w:r>
      <w:r>
        <w:t xml:space="preserve"> </w:t>
      </w:r>
      <w:r>
        <w:t xml:space="preserve">a Resolução CGSN nº 194/2026 empurrou a opção pelo</w:t>
      </w:r>
      <w:r>
        <w:t xml:space="preserve"> </w:t>
      </w:r>
      <w:r>
        <w:t xml:space="preserve">regime regular do IBS/CBS para 30/10/2026 e abriu uma janela de</w:t>
      </w:r>
      <w:r>
        <w:t xml:space="preserve"> </w:t>
      </w:r>
      <w:r>
        <w:t xml:space="preserve">cancelamento irretratável de 3/11 a 20/12/2026, depois da definição da</w:t>
      </w:r>
      <w:r>
        <w:t xml:space="preserve"> </w:t>
      </w:r>
      <w:r>
        <w:t xml:space="preserve">alíquota da CBS.</w:t>
      </w:r>
    </w:p>
    <w:bookmarkStart w:id="20" w:name="o-texto-da-prorrogação"/>
    <w:p>
      <w:pPr>
        <w:pStyle w:val="Heading2"/>
      </w:pPr>
      <w:r>
        <w:t xml:space="preserve">O texto da prorrogação</w:t>
      </w:r>
    </w:p>
    <w:p>
      <w:pPr>
        <w:pStyle w:val="FirstParagraph"/>
      </w:pPr>
      <w:r>
        <w:t xml:space="preserve">A Resolução CGSN nº 194/2026 alterou os prazos da Resolução CGSN nº</w:t>
      </w:r>
      <w:r>
        <w:t xml:space="preserve"> </w:t>
      </w:r>
      <w:r>
        <w:t xml:space="preserve">186/2026, que regulamenta, com base na LC 123/2006 e na LC 214/2025, a</w:t>
      </w:r>
      <w:r>
        <w:t xml:space="preserve"> </w:t>
      </w:r>
      <w:r>
        <w:t xml:space="preserve">opção das empresas do Simples Nacional pelo regime regular do IBS e da</w:t>
      </w:r>
      <w:r>
        <w:t xml:space="preserve"> </w:t>
      </w:r>
      <w:r>
        <w:t xml:space="preserve">CBS. Pelas notícias oficiais e de imprensa especializada:</w:t>
      </w:r>
    </w:p>
    <w:p>
      <w:pPr>
        <w:numPr>
          <w:ilvl w:val="0"/>
          <w:numId w:val="1001"/>
        </w:numPr>
        <w:pStyle w:val="Compact"/>
      </w:pPr>
      <w:r>
        <w:t xml:space="preserve">opção pelo Simples Nacional: 1º/9 a 15/10/2026;</w:t>
      </w:r>
    </w:p>
    <w:p>
      <w:pPr>
        <w:numPr>
          <w:ilvl w:val="0"/>
          <w:numId w:val="1001"/>
        </w:numPr>
        <w:pStyle w:val="Compact"/>
      </w:pPr>
      <w:r>
        <w:t xml:space="preserve">opção pelo regime regular do IBS/CBS: até 30/10/2026, valendo de</w:t>
      </w:r>
      <w:r>
        <w:t xml:space="preserve"> </w:t>
      </w:r>
      <w:r>
        <w:t xml:space="preserve">janeiro a junho de 2027;</w:t>
      </w:r>
    </w:p>
    <w:p>
      <w:pPr>
        <w:numPr>
          <w:ilvl w:val="0"/>
          <w:numId w:val="1001"/>
        </w:numPr>
        <w:pStyle w:val="Compact"/>
      </w:pPr>
      <w:r>
        <w:t xml:space="preserve">cancelamento de ambas: 3/11 a 20/12/2026, de forma irretratável;</w:t>
      </w:r>
    </w:p>
    <w:p>
      <w:pPr>
        <w:numPr>
          <w:ilvl w:val="0"/>
          <w:numId w:val="1001"/>
        </w:numPr>
        <w:pStyle w:val="Compact"/>
      </w:pPr>
      <w:r>
        <w:t xml:space="preserve">impedimentos que levaram ao indeferimento: regularização até</w:t>
      </w:r>
      <w:r>
        <w:t xml:space="preserve"> </w:t>
      </w:r>
      <w:r>
        <w:t xml:space="preserve">30/10/2026.</w:t>
      </w:r>
    </w:p>
    <w:p>
      <w:pPr>
        <w:pStyle w:val="FirstParagraph"/>
      </w:pPr>
      <w:r>
        <w:t xml:space="preserve">No período em que a opção vale (primeiro semestre de 2027), a empresa</w:t>
      </w:r>
      <w:r>
        <w:t xml:space="preserve"> </w:t>
      </w:r>
      <w:r>
        <w:t xml:space="preserve">não recolhe IBS e CBS dentro do Simples; recolhe por fora, pelo regime</w:t>
      </w:r>
      <w:r>
        <w:t xml:space="preserve"> </w:t>
      </w:r>
      <w:r>
        <w:t xml:space="preserve">regular, e segue no Simples quanto aos demais tributos. É o chamado</w:t>
      </w:r>
      <w:r>
        <w:t xml:space="preserve"> </w:t>
      </w:r>
      <w:r>
        <w:t xml:space="preserve">regime híbrido.</w:t>
      </w:r>
    </w:p>
    <w:bookmarkEnd w:id="20"/>
    <w:bookmarkStart w:id="21" w:name="a-janela-de-arrependimento-tem-uma-razão"/>
    <w:p>
      <w:pPr>
        <w:pStyle w:val="Heading2"/>
      </w:pPr>
      <w:r>
        <w:t xml:space="preserve">A janela de arrependimento tem uma razão</w:t>
      </w:r>
    </w:p>
    <w:p>
      <w:pPr>
        <w:pStyle w:val="FirstParagraph"/>
      </w:pPr>
      <w:r>
        <w:t xml:space="preserve">O cancelamento foi deslocado para depois de 15/12, data prevista para a</w:t>
      </w:r>
      <w:r>
        <w:t xml:space="preserve"> </w:t>
      </w:r>
      <w:r>
        <w:t xml:space="preserve">definição da alíquota da CBS de 2027. O TCU tem até 30/10 para enviar os</w:t>
      </w:r>
      <w:r>
        <w:t xml:space="preserve"> </w:t>
      </w:r>
      <w:r>
        <w:t xml:space="preserve">cálculos ao Senado. Ou seja, a decisão é tomada sem o número que mais</w:t>
      </w:r>
      <w:r>
        <w:t xml:space="preserve"> </w:t>
      </w:r>
      <w:r>
        <w:t xml:space="preserve">pesa nela, e a norma compensa isso com o direito de desistir.</w:t>
      </w:r>
    </w:p>
    <w:bookmarkEnd w:id="21"/>
    <w:bookmarkStart w:id="22" w:name="a-análise-que-decide-a-escolha"/>
    <w:p>
      <w:pPr>
        <w:pStyle w:val="Heading2"/>
      </w:pPr>
      <w:r>
        <w:t xml:space="preserve">A análise que decide a escolha</w:t>
      </w:r>
    </w:p>
    <w:p>
      <w:pPr>
        <w:pStyle w:val="FirstParagraph"/>
      </w:pPr>
      <w:r>
        <w:t xml:space="preserve">A comparação não é entre duas alíquotas. É entre dois perfis de cliente: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Cliente PJ no regime regular:</w:t>
      </w:r>
      <w:r>
        <w:t xml:space="preserve"> </w:t>
      </w:r>
      <w:r>
        <w:t xml:space="preserve">exige crédito cheio. O fornecedor</w:t>
      </w:r>
      <w:r>
        <w:t xml:space="preserve"> </w:t>
      </w:r>
      <w:r>
        <w:t xml:space="preserve">no Simples transfere apenas o crédito sobre sua alíquota efetiva, o</w:t>
      </w:r>
      <w:r>
        <w:t xml:space="preserve"> </w:t>
      </w:r>
      <w:r>
        <w:t xml:space="preserve">que pode custar preço ou contrato.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Cliente consumidor final:</w:t>
      </w:r>
      <w:r>
        <w:t xml:space="preserve"> </w:t>
      </w:r>
      <w:r>
        <w:t xml:space="preserve">o crédito é irrelevante; o regime</w:t>
      </w:r>
      <w:r>
        <w:t xml:space="preserve"> </w:t>
      </w:r>
      <w:r>
        <w:t xml:space="preserve">regular só acrescenta obrigação acessória e custo.</w:t>
      </w:r>
    </w:p>
    <w:p>
      <w:pPr>
        <w:pStyle w:val="FirstParagraph"/>
      </w:pPr>
      <w:r>
        <w:t xml:space="preserve">Um exemplo hipotético: um atacadista do Simples com 70% das vendas para</w:t>
      </w:r>
      <w:r>
        <w:t xml:space="preserve"> </w:t>
      </w:r>
      <w:r>
        <w:t xml:space="preserve">empresas do Lucro Presumido ou Real tem incentivo para o regime regular;</w:t>
      </w:r>
      <w:r>
        <w:t xml:space="preserve"> </w:t>
      </w:r>
      <w:r>
        <w:t xml:space="preserve">uma loja com 90% de vendas a pessoa física, não.</w:t>
      </w:r>
    </w:p>
    <w:bookmarkEnd w:id="22"/>
    <w:bookmarkStart w:id="23" w:name="cuidado-com-o-que-é-estimativa"/>
    <w:p>
      <w:pPr>
        <w:pStyle w:val="Heading2"/>
      </w:pPr>
      <w:r>
        <w:t xml:space="preserve">Cuidado com o que é estimativa</w:t>
      </w:r>
    </w:p>
    <w:p>
      <w:pPr>
        <w:pStyle w:val="FirstParagraph"/>
      </w:pPr>
      <w:r>
        <w:t xml:space="preserve">As alíquotas circulantes para a CBS de 2027 são estimativas privadas ou</w:t>
      </w:r>
      <w:r>
        <w:t xml:space="preserve"> </w:t>
      </w:r>
      <w:r>
        <w:t xml:space="preserve">do Comitê Gestor, sem caráter oficial. Decidir com base nelas é decidir</w:t>
      </w:r>
      <w:r>
        <w:t xml:space="preserve"> </w:t>
      </w:r>
      <w:r>
        <w:t xml:space="preserve">com margem de erro; a janela até 20/12 reduz o risco, mas não o elimina,</w:t>
      </w:r>
      <w:r>
        <w:t xml:space="preserve"> </w:t>
      </w:r>
      <w:r>
        <w:t xml:space="preserve">porque o cancelamento é definitivo.</w:t>
      </w:r>
    </w:p>
    <w:bookmarkEnd w:id="23"/>
    <w:bookmarkStart w:id="24" w:name="pequenos-negócios-novidades-na-semana"/>
    <w:p>
      <w:pPr>
        <w:pStyle w:val="Heading2"/>
      </w:pPr>
      <w:r>
        <w:t xml:space="preserve">Pequenos negócios: novidades na semana</w:t>
      </w:r>
    </w:p>
    <w:p>
      <w:pPr>
        <w:pStyle w:val="FirstParagraph"/>
      </w:pPr>
      <w:r>
        <w:t xml:space="preserve">O Decreto nº 13.140/2026 e a Resolução CGSN nº 195/2026 trouxeram</w:t>
      </w:r>
      <w:r>
        <w:t xml:space="preserve"> </w:t>
      </w:r>
      <w:r>
        <w:t xml:space="preserve">simplificações para MEI e nanoempreendedor: dispensa de CNPJ para o</w:t>
      </w:r>
      <w:r>
        <w:t xml:space="preserve"> </w:t>
      </w:r>
      <w:r>
        <w:t xml:space="preserve">nanoempreendedor nas obrigações dos novos tributos e uso do DASN-Simei</w:t>
      </w:r>
      <w:r>
        <w:t xml:space="preserve"> </w:t>
      </w:r>
      <w:r>
        <w:t xml:space="preserve">como documento fiscal eletrônico em vendas a consumidor final pessoa</w:t>
      </w:r>
      <w:r>
        <w:t xml:space="preserve"> </w:t>
      </w:r>
      <w:r>
        <w:t xml:space="preserve">física.</w:t>
      </w:r>
    </w:p>
    <w:bookmarkEnd w:id="24"/>
    <w:bookmarkStart w:id="25" w:name="checklist"/>
    <w:p>
      <w:pPr>
        <w:pStyle w:val="Heading2"/>
      </w:pPr>
      <w:r>
        <w:t xml:space="preserve">Checklist</w:t>
      </w:r>
    </w:p>
    <w:p>
      <w:pPr>
        <w:numPr>
          <w:ilvl w:val="0"/>
          <w:numId w:val="1003"/>
        </w:numPr>
        <w:pStyle w:val="Compact"/>
      </w:pPr>
      <w:r>
        <w:t xml:space="preserve">Perfil de clientes por regime tributário.</w:t>
      </w:r>
    </w:p>
    <w:p>
      <w:pPr>
        <w:numPr>
          <w:ilvl w:val="0"/>
          <w:numId w:val="1003"/>
        </w:numPr>
        <w:pStyle w:val="Compact"/>
      </w:pPr>
      <w:r>
        <w:t xml:space="preserve">Simulação com a alíquota estimada e com sensibilidade.</w:t>
      </w:r>
    </w:p>
    <w:p>
      <w:pPr>
        <w:numPr>
          <w:ilvl w:val="0"/>
          <w:numId w:val="1003"/>
        </w:numPr>
        <w:pStyle w:val="Compact"/>
      </w:pPr>
      <w:r>
        <w:t xml:space="preserve">Conferência de débitos e pendências que possam barrar a opção.</w:t>
      </w:r>
    </w:p>
    <w:p>
      <w:pPr>
        <w:numPr>
          <w:ilvl w:val="0"/>
          <w:numId w:val="1003"/>
        </w:numPr>
        <w:pStyle w:val="Compact"/>
      </w:pPr>
      <w:r>
        <w:t xml:space="preserve">Revisão após a definição da alíquota, antes de 20/12.</w:t>
      </w:r>
    </w:p>
    <w:p>
      <w:pPr>
        <w:pStyle w:val="FirstParagraph"/>
      </w:pPr>
      <w:r>
        <w:rPr>
          <w:iCs/>
          <w:i/>
        </w:rPr>
        <w:t xml:space="preserve">Nota de conferência: as fontes divergem quanto a datas anteriores à</w:t>
      </w:r>
      <w:r>
        <w:rPr>
          <w:iCs/>
          <w:i/>
        </w:rPr>
        <w:t xml:space="preserve"> </w:t>
      </w:r>
      <w:r>
        <w:rPr>
          <w:iCs/>
          <w:i/>
        </w:rPr>
        <w:t xml:space="preserve">prorrogação; confirme no texto da Resolução CGSN nº 194/2026 antes de</w:t>
      </w:r>
      <w:r>
        <w:rPr>
          <w:iCs/>
          <w:i/>
        </w:rPr>
        <w:t xml:space="preserve"> </w:t>
      </w:r>
      <w:r>
        <w:rPr>
          <w:iCs/>
          <w:i/>
        </w:rPr>
        <w:t xml:space="preserve">publicar.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2026-10-29T21:42:19Z</dcterms:created>
  <dcterms:modified xsi:type="dcterms:W3CDTF">2026-10-29T21:42:19Z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