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xto-para-linkedin"/>
    <w:p>
      <w:pPr>
        <w:pStyle w:val="Heading1"/>
      </w:pPr>
      <w:r>
        <w:t xml:space="preserve">Texto para LinkedIn</w:t>
      </w:r>
    </w:p>
    <w:p>
      <w:pPr>
        <w:pStyle w:val="FirstParagraph"/>
      </w:pPr>
      <w:r>
        <w:rPr>
          <w:bCs/>
          <w:b/>
        </w:rPr>
        <w:t xml:space="preserve">Simples Nacional: amanhã (30/10) termina o prazo para optar pelo regime</w:t>
      </w:r>
      <w:r>
        <w:rPr>
          <w:bCs/>
          <w:b/>
        </w:rPr>
        <w:t xml:space="preserve"> </w:t>
      </w:r>
      <w:r>
        <w:rPr>
          <w:bCs/>
          <w:b/>
        </w:rPr>
        <w:t xml:space="preserve">regular do IBS e da CBS em 2027</w:t>
      </w:r>
    </w:p>
    <w:p>
      <w:pPr>
        <w:pStyle w:val="BodyText"/>
      </w:pPr>
      <w:r>
        <w:t xml:space="preserve">A Resolução CGSN nº 194/2026 prorrogou o prazo de opção para 30 de</w:t>
      </w:r>
      <w:r>
        <w:t xml:space="preserve"> </w:t>
      </w:r>
      <w:r>
        <w:t xml:space="preserve">outubro. A janela de cancelamento, sem retorno, vai de 3 de novembro a</w:t>
      </w:r>
      <w:r>
        <w:t xml:space="preserve"> </w:t>
      </w:r>
      <w:r>
        <w:t xml:space="preserve">20 de dezembro, depois da definição da alíquota da CBS.</w:t>
      </w:r>
    </w:p>
    <w:p>
      <w:pPr>
        <w:pStyle w:val="BodyText"/>
      </w:pPr>
      <w:r>
        <w:t xml:space="preserve">Quem vende para empresas que dependem de crédito pode perder</w:t>
      </w:r>
      <w:r>
        <w:t xml:space="preserve"> </w:t>
      </w:r>
      <w:r>
        <w:t xml:space="preserve">competitividade no Simples puro. Quem vende ao consumidor final, em</w:t>
      </w:r>
      <w:r>
        <w:t xml:space="preserve"> </w:t>
      </w:r>
      <w:r>
        <w:t xml:space="preserve">geral, não ganha com o regime regular e ainda assume mais obrigações. A</w:t>
      </w:r>
      <w:r>
        <w:t xml:space="preserve"> </w:t>
      </w:r>
      <w:r>
        <w:t xml:space="preserve">decisão passa pelo perfil dos seus clientes, não só pela alíquota.</w:t>
      </w:r>
    </w:p>
    <w:p>
      <w:pPr>
        <w:pStyle w:val="BodyText"/>
      </w:pPr>
      <w:r>
        <w:t xml:space="preserve">E para MEI e nanoempreendedores: Decreto nº 13.140/2026 e Resolução CGSN</w:t>
      </w:r>
      <w:r>
        <w:t xml:space="preserve"> </w:t>
      </w:r>
      <w:r>
        <w:t xml:space="preserve">nº 195/2026 simplificaram as obrigações da reforma.</w:t>
      </w:r>
    </w:p>
    <w:p>
      <w:pPr>
        <w:pStyle w:val="BodyText"/>
      </w:pPr>
      <w:r>
        <w:t xml:space="preserve">Leia…: Manassés Lopes Advogados: https://www.manasseslopes.com O</w:t>
      </w:r>
      <w:r>
        <w:t xml:space="preserve"> </w:t>
      </w:r>
      <w:r>
        <w:t xml:space="preserve">Tributarista Minucioso: https://otributaristaminucioso.blogspot.com</w:t>
      </w:r>
    </w:p>
    <w:p>
      <w:pPr>
        <w:pStyle w:val="BodyText"/>
      </w:pPr>
      <w:r>
        <w:t xml:space="preserve">#ReformaTributária #SimplesNacional #IBS #CBS #DireitoTributário</w:t>
      </w:r>
      <w:r>
        <w:t xml:space="preserve"> </w:t>
      </w:r>
      <w:r>
        <w:t xml:space="preserve">#Empresas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2026-10-29T21:42:19Z</dcterms:created>
  <dcterms:modified xsi:type="dcterms:W3CDTF">2026-10-29T21:42:19Z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