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Resumo:</w:t>
      </w:r>
      <w:r>
        <w:t xml:space="preserve"> </w:t>
      </w:r>
      <w:r>
        <w:t xml:space="preserve">a Resolução CGSN nº 194/2026 prorrogou para 30 de outubro de</w:t>
      </w:r>
      <w:r>
        <w:t xml:space="preserve"> </w:t>
      </w:r>
      <w:r>
        <w:t xml:space="preserve">2026 o prazo para a empresa do Simples Nacional optar pelo regime</w:t>
      </w:r>
      <w:r>
        <w:t xml:space="preserve"> </w:t>
      </w:r>
      <w:r>
        <w:t xml:space="preserve">regular do IBS e da CBS no primeiro semestre de 2027. A janela de</w:t>
      </w:r>
      <w:r>
        <w:t xml:space="preserve"> </w:t>
      </w:r>
      <w:r>
        <w:t xml:space="preserve">cancelamento, sem retorno, vai de 3 de novembro a 20 de dezembro.</w:t>
      </w:r>
    </w:p>
    <w:bookmarkStart w:id="20" w:name="o-que-mudou-no-calendário"/>
    <w:p>
      <w:pPr>
        <w:pStyle w:val="Heading2"/>
      </w:pPr>
      <w:r>
        <w:t xml:space="preserve">O que mudou no calendário</w:t>
      </w:r>
    </w:p>
    <w:p>
      <w:pPr>
        <w:pStyle w:val="FirstParagraph"/>
      </w:pPr>
      <w:r>
        <w:t xml:space="preserve">Segundo a notícia do Governo Federal desta quinta-feira (29/10), mais de</w:t>
      </w:r>
      <w:r>
        <w:t xml:space="preserve"> </w:t>
      </w:r>
      <w:r>
        <w:t xml:space="preserve">1 milhão de contribuintes já optaram pelo regime regular do IBS e da</w:t>
      </w:r>
      <w:r>
        <w:t xml:space="preserve"> </w:t>
      </w:r>
      <w:r>
        <w:t xml:space="preserve">CBS. O prazo, que terminava em 30 de setembro, foi estendido para</w:t>
      </w:r>
      <w:r>
        <w:t xml:space="preserve"> </w:t>
      </w:r>
      <w:r>
        <w:rPr>
          <w:bCs/>
          <w:b/>
        </w:rPr>
        <w:t xml:space="preserve">30</w:t>
      </w:r>
      <w:r>
        <w:rPr>
          <w:bCs/>
          <w:b/>
        </w:rPr>
        <w:t xml:space="preserve"> </w:t>
      </w:r>
      <w:r>
        <w:rPr>
          <w:bCs/>
          <w:b/>
        </w:rPr>
        <w:t xml:space="preserve">de outubro de 2026</w:t>
      </w:r>
      <w:r>
        <w:t xml:space="preserve"> </w:t>
      </w:r>
      <w:r>
        <w:t xml:space="preserve">pela Resolução CGSN nº 194/2026, em razão da</w:t>
      </w:r>
      <w:r>
        <w:t xml:space="preserve"> </w:t>
      </w:r>
      <w:r>
        <w:t xml:space="preserve">instabilidade do Gov.br e do site da Receita Federal por excesso de</w:t>
      </w:r>
      <w:r>
        <w:t xml:space="preserve"> </w:t>
      </w:r>
      <w:r>
        <w:t xml:space="preserve">acessos.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Opção pelo Simples Nacional para 2027:</w:t>
      </w:r>
      <w:r>
        <w:t xml:space="preserve"> </w:t>
      </w:r>
      <w:r>
        <w:t xml:space="preserve">de 1º de setembro a 15 de</w:t>
      </w:r>
      <w:r>
        <w:t xml:space="preserve"> </w:t>
      </w:r>
      <w:r>
        <w:t xml:space="preserve">outubro de 2026, com efeitos a partir de 1º de janeiro de 2027.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Opção pelo regime regular do IBS/CBS (janeiro a junho de 2027):</w:t>
      </w:r>
      <w:r>
        <w:t xml:space="preserve"> </w:t>
      </w:r>
      <w:r>
        <w:t xml:space="preserve">até 30 de outubro de 2026, pelo Portal do Simples Nacional.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Cancelamento de ambas as opções:</w:t>
      </w:r>
      <w:r>
        <w:t xml:space="preserve"> </w:t>
      </w:r>
      <w:r>
        <w:t xml:space="preserve">de 3 de novembro a 20 de</w:t>
      </w:r>
      <w:r>
        <w:t xml:space="preserve"> </w:t>
      </w:r>
      <w:r>
        <w:t xml:space="preserve">dezembro de 2026. Antes, o limite era 30 de novembro.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Pendências que barraram o pedido:</w:t>
      </w:r>
      <w:r>
        <w:t xml:space="preserve"> </w:t>
      </w:r>
      <w:r>
        <w:t xml:space="preserve">podem ser regularizadas até 30</w:t>
      </w:r>
      <w:r>
        <w:t xml:space="preserve"> </w:t>
      </w:r>
      <w:r>
        <w:t xml:space="preserve">de outubro.</w:t>
      </w:r>
    </w:p>
    <w:p>
      <w:pPr>
        <w:pStyle w:val="FirstParagraph"/>
      </w:pPr>
      <w:r>
        <w:t xml:space="preserve">A janela de cancelamento foi alongada para depois da definição da</w:t>
      </w:r>
      <w:r>
        <w:t xml:space="preserve"> </w:t>
      </w:r>
      <w:r>
        <w:t xml:space="preserve">alíquota da CBS de 2027, prevista para até 15 de dezembro. Em outras</w:t>
      </w:r>
      <w:r>
        <w:t xml:space="preserve"> </w:t>
      </w:r>
      <w:r>
        <w:t xml:space="preserve">palavras: a empresa opta agora, mas pode desistir quando souber a</w:t>
      </w:r>
      <w:r>
        <w:t xml:space="preserve"> </w:t>
      </w:r>
      <w:r>
        <w:t xml:space="preserve">alíquota.</w:t>
      </w:r>
    </w:p>
    <w:bookmarkEnd w:id="20"/>
    <w:bookmarkStart w:id="21" w:name="por-que-isso-importa-para-o-caixa"/>
    <w:p>
      <w:pPr>
        <w:pStyle w:val="Heading2"/>
      </w:pPr>
      <w:r>
        <w:t xml:space="preserve">Por que isso importa para o caixa</w:t>
      </w:r>
    </w:p>
    <w:p>
      <w:pPr>
        <w:pStyle w:val="FirstParagraph"/>
      </w:pPr>
      <w:r>
        <w:t xml:space="preserve">No regime regular, a empresa recolhe IBS e CBS por fora do Simples e</w:t>
      </w:r>
      <w:r>
        <w:t xml:space="preserve"> </w:t>
      </w:r>
      <w:r>
        <w:t xml:space="preserve">passa a gerar crédito integral desses tributos ao cliente pessoa</w:t>
      </w:r>
      <w:r>
        <w:t xml:space="preserve"> </w:t>
      </w:r>
      <w:r>
        <w:t xml:space="preserve">jurídica. No Simples puro, o comprador PJ aproveita apenas o crédito</w:t>
      </w:r>
      <w:r>
        <w:t xml:space="preserve"> </w:t>
      </w:r>
      <w:r>
        <w:t xml:space="preserve">calculado sobre a alíquota efetiva do fornecedor.</w:t>
      </w:r>
    </w:p>
    <w:p>
      <w:pPr>
        <w:pStyle w:val="BodyText"/>
      </w:pPr>
      <w:r>
        <w:t xml:space="preserve">Um exemplo hipotético: uma indústria do Simples vende a outra empresa,</w:t>
      </w:r>
      <w:r>
        <w:t xml:space="preserve"> </w:t>
      </w:r>
      <w:r>
        <w:t xml:space="preserve">que está no regime regular, e a margem do negócio depende de crédito. Se</w:t>
      </w:r>
      <w:r>
        <w:t xml:space="preserve"> </w:t>
      </w:r>
      <w:r>
        <w:t xml:space="preserve">o cliente exigir o crédito cheio, o fornecedor que ficou no regime</w:t>
      </w:r>
      <w:r>
        <w:t xml:space="preserve"> </w:t>
      </w:r>
      <w:r>
        <w:t xml:space="preserve">simplificado pode perder preço ou contrato. Já uma empresa que vende</w:t>
      </w:r>
      <w:r>
        <w:t xml:space="preserve"> </w:t>
      </w:r>
      <w:r>
        <w:t xml:space="preserve">majoritariamente a consumidor final tende a não ganhar nada com a</w:t>
      </w:r>
      <w:r>
        <w:t xml:space="preserve"> </w:t>
      </w:r>
      <w:r>
        <w:t xml:space="preserve">mudança, e passa a ter uma obrigação acessória maior.</w:t>
      </w:r>
    </w:p>
    <w:bookmarkEnd w:id="21"/>
    <w:bookmarkStart w:id="22" w:name="como-decidir-antes-do-prazo"/>
    <w:p>
      <w:pPr>
        <w:pStyle w:val="Heading2"/>
      </w:pPr>
      <w:r>
        <w:t xml:space="preserve">Como decidir antes do prazo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Mapeie a carteira de clientes:</w:t>
      </w:r>
      <w:r>
        <w:t xml:space="preserve"> </w:t>
      </w:r>
      <w:r>
        <w:t xml:space="preserve">quanto do faturamento vai para</w:t>
      </w:r>
      <w:r>
        <w:t xml:space="preserve"> </w:t>
      </w:r>
      <w:r>
        <w:t xml:space="preserve">pessoas jurídicas que dependem de crédito.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Compare a carga:</w:t>
      </w:r>
      <w:r>
        <w:t xml:space="preserve"> </w:t>
      </w:r>
      <w:r>
        <w:t xml:space="preserve">simule o Simples puro contra o regime regular</w:t>
      </w:r>
      <w:r>
        <w:t xml:space="preserve"> </w:t>
      </w:r>
      <w:r>
        <w:t xml:space="preserve">com a alíquota estimada da CBS, que ainda não é oficial.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Verifique impedimentos:</w:t>
      </w:r>
      <w:r>
        <w:t xml:space="preserve"> </w:t>
      </w:r>
      <w:r>
        <w:t xml:space="preserve">débitos e pendências cadastrais podem</w:t>
      </w:r>
      <w:r>
        <w:t xml:space="preserve"> </w:t>
      </w:r>
      <w:r>
        <w:t xml:space="preserve">barrar a opção.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Registre a decisão:</w:t>
      </w:r>
      <w:r>
        <w:t xml:space="preserve"> </w:t>
      </w:r>
      <w:r>
        <w:t xml:space="preserve">guarde o comprovante da opção e a análise</w:t>
      </w:r>
      <w:r>
        <w:t xml:space="preserve"> </w:t>
      </w:r>
      <w:r>
        <w:t xml:space="preserve">que a embasou.</w:t>
      </w:r>
    </w:p>
    <w:bookmarkEnd w:id="22"/>
    <w:bookmarkStart w:id="23" w:name="X8f754ff184c1754a03b2593f95f9749c84ad3d8"/>
    <w:p>
      <w:pPr>
        <w:pStyle w:val="Heading2"/>
      </w:pPr>
      <w:r>
        <w:t xml:space="preserve">Atenção: a estimativa da alíquota ainda não é oficial</w:t>
      </w:r>
    </w:p>
    <w:p>
      <w:pPr>
        <w:pStyle w:val="FirstParagraph"/>
      </w:pPr>
      <w:r>
        <w:t xml:space="preserve">O TCU tem até 30 de outubro para enviar ao Senado os cálculos da</w:t>
      </w:r>
      <w:r>
        <w:t xml:space="preserve"> </w:t>
      </w:r>
      <w:r>
        <w:t xml:space="preserve">alíquota da CBS, e a definição vem até 15 de dezembro. As estimativas</w:t>
      </w:r>
      <w:r>
        <w:t xml:space="preserve"> </w:t>
      </w:r>
      <w:r>
        <w:t xml:space="preserve">divulgadas variam e não vinculam o Comitê Gestor. Por isso a janela de</w:t>
      </w:r>
      <w:r>
        <w:t xml:space="preserve"> </w:t>
      </w:r>
      <w:r>
        <w:t xml:space="preserve">cancelamento até 20 de dezembro funciona como a rede de proteção da</w:t>
      </w:r>
      <w:r>
        <w:t xml:space="preserve"> </w:t>
      </w:r>
      <w:r>
        <w:t xml:space="preserve">decisão.</w:t>
      </w:r>
    </w:p>
    <w:bookmarkEnd w:id="23"/>
    <w:bookmarkStart w:id="24" w:name="empresas-novas-e-mei"/>
    <w:p>
      <w:pPr>
        <w:pStyle w:val="Heading2"/>
      </w:pPr>
      <w:r>
        <w:t xml:space="preserve">Empresas novas e MEI</w:t>
      </w:r>
    </w:p>
    <w:p>
      <w:pPr>
        <w:pStyle w:val="FirstParagraph"/>
      </w:pPr>
      <w:r>
        <w:t xml:space="preserve">Quem abre CNPJ entre 31 de outubro e 31 de dezembro de 2026 segue regra</w:t>
      </w:r>
      <w:r>
        <w:t xml:space="preserve"> </w:t>
      </w:r>
      <w:r>
        <w:t xml:space="preserve">própria para o IBS/CBS. E, para o MEI e o nanoempreendedor, o Decreto nº</w:t>
      </w:r>
      <w:r>
        <w:t xml:space="preserve"> </w:t>
      </w:r>
      <w:r>
        <w:t xml:space="preserve">13.140/2026 e a Resolução CGSN nº 195/2026 simplificaram obrigações: o</w:t>
      </w:r>
      <w:r>
        <w:t xml:space="preserve"> </w:t>
      </w:r>
      <w:r>
        <w:t xml:space="preserve">DASN-Simei pode servir como documento fiscal eletrônico nas vendas a</w:t>
      </w:r>
      <w:r>
        <w:t xml:space="preserve"> </w:t>
      </w:r>
      <w:r>
        <w:t xml:space="preserve">consumidor final pessoa física, e o nanoempreendedor fica dispensado da</w:t>
      </w:r>
      <w:r>
        <w:t xml:space="preserve"> </w:t>
      </w:r>
      <w:r>
        <w:t xml:space="preserve">inscrição no CNPJ.</w:t>
      </w:r>
    </w:p>
    <w:bookmarkEnd w:id="24"/>
    <w:bookmarkStart w:id="25" w:name="antes-de-decidir"/>
    <w:p>
      <w:pPr>
        <w:pStyle w:val="Heading2"/>
      </w:pPr>
      <w:r>
        <w:t xml:space="preserve">Antes de decidir</w:t>
      </w:r>
    </w:p>
    <w:p>
      <w:pPr>
        <w:pStyle w:val="FirstParagraph"/>
      </w:pPr>
      <w:r>
        <w:t xml:space="preserve">Confira, com a contabilidade, o perfil de clientes e o histórico de</w:t>
      </w:r>
      <w:r>
        <w:t xml:space="preserve"> </w:t>
      </w:r>
      <w:r>
        <w:t xml:space="preserve">débitos. A equipe tributária do Manassés Lopes Advogados faz a simulação</w:t>
      </w:r>
      <w:r>
        <w:t xml:space="preserve"> </w:t>
      </w:r>
      <w:r>
        <w:t xml:space="preserve">e acompanha a janela de cancelamento até 20 de dezembro.</w:t>
      </w:r>
    </w:p>
    <w:p>
      <w:pPr>
        <w:pStyle w:val="BodyText"/>
      </w:pPr>
      <w:r>
        <w:rPr>
          <w:iCs/>
          <w:i/>
        </w:rPr>
        <w:t xml:space="preserve">Observação de conferência: as fontes consultadas divergem sobre datas</w:t>
      </w:r>
      <w:r>
        <w:rPr>
          <w:iCs/>
          <w:i/>
        </w:rPr>
        <w:t xml:space="preserve"> </w:t>
      </w:r>
      <w:r>
        <w:rPr>
          <w:iCs/>
          <w:i/>
        </w:rPr>
        <w:t xml:space="preserve">por terem sido publicadas antes e depois da prorrogação; confirme no</w:t>
      </w:r>
      <w:r>
        <w:rPr>
          <w:iCs/>
          <w:i/>
        </w:rPr>
        <w:t xml:space="preserve"> </w:t>
      </w:r>
      <w:r>
        <w:rPr>
          <w:iCs/>
          <w:i/>
        </w:rPr>
        <w:t xml:space="preserve">texto da Resolução CGSN nº 194/2026 e no Portal do Simples Nacional</w:t>
      </w:r>
      <w:r>
        <w:rPr>
          <w:iCs/>
          <w:i/>
        </w:rPr>
        <w:t xml:space="preserve"> </w:t>
      </w:r>
      <w:r>
        <w:rPr>
          <w:iCs/>
          <w:i/>
        </w:rPr>
        <w:t xml:space="preserve">antes de publicar.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2026-10-29T21:42:19Z</dcterms:created>
  <dcterms:modified xsi:type="dcterms:W3CDTF">2026-10-29T21:42:19Z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