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Simples</w:t>
      </w:r>
      <w:r>
        <w:t xml:space="preserve"> </w:t>
      </w:r>
      <w:r>
        <w:t xml:space="preserve">Nacional</w:t>
      </w:r>
      <w:r>
        <w:t xml:space="preserve"> </w:t>
      </w:r>
      <w:r>
        <w:t xml:space="preserve">e</w:t>
      </w:r>
      <w:r>
        <w:t xml:space="preserve"> </w:t>
      </w:r>
      <w:r>
        <w:t xml:space="preserve">IBS/CBS:</w:t>
      </w:r>
      <w:r>
        <w:t xml:space="preserve"> </w:t>
      </w:r>
      <w:r>
        <w:t xml:space="preserve">o</w:t>
      </w:r>
      <w:r>
        <w:t xml:space="preserve"> </w:t>
      </w:r>
      <w:r>
        <w:t xml:space="preserve">prazo</w:t>
      </w:r>
      <w:r>
        <w:t xml:space="preserve"> </w:t>
      </w:r>
      <w:r>
        <w:t xml:space="preserve">para</w:t>
      </w:r>
      <w:r>
        <w:t xml:space="preserve"> </w:t>
      </w:r>
      <w:r>
        <w:t xml:space="preserve">optar</w:t>
      </w:r>
      <w:r>
        <w:t xml:space="preserve"> </w:t>
      </w:r>
      <w:r>
        <w:t xml:space="preserve">pelo</w:t>
      </w:r>
      <w:r>
        <w:t xml:space="preserve"> </w:t>
      </w:r>
      <w:r>
        <w:t xml:space="preserve">regime</w:t>
      </w:r>
      <w:r>
        <w:t xml:space="preserve"> </w:t>
      </w:r>
      <w:r>
        <w:t xml:space="preserve">regular</w:t>
      </w:r>
      <w:r>
        <w:t xml:space="preserve"> </w:t>
      </w:r>
      <w:r>
        <w:t xml:space="preserve">termina</w:t>
      </w:r>
      <w:r>
        <w:t xml:space="preserve"> </w:t>
      </w:r>
      <w:r>
        <w:t xml:space="preserve">em</w:t>
      </w:r>
      <w:r>
        <w:t xml:space="preserve"> </w:t>
      </w:r>
      <w:r>
        <w:t xml:space="preserve">30</w:t>
      </w:r>
      <w:r>
        <w:t xml:space="preserve"> </w:t>
      </w:r>
      <w:r>
        <w:t xml:space="preserve">de</w:t>
      </w:r>
      <w:r>
        <w:t xml:space="preserve"> </w:t>
      </w:r>
      <w:r>
        <w:t xml:space="preserve">outubro</w:t>
      </w:r>
    </w:p>
    <w:p>
      <w:pPr>
        <w:pStyle w:val="FirstParagraph"/>
      </w:pPr>
      <w:r>
        <w:rPr>
          <w:bCs/>
          <w:b/>
        </w:rPr>
        <w:t xml:space="preserve">Resumo:</w:t>
      </w:r>
      <w:r>
        <w:t xml:space="preserve"> </w:t>
      </w:r>
      <w:r>
        <w:t xml:space="preserve">empresas optantes pelo Simples Nacional têm até 30 de outubro de 2026 para decidir se recolherão IBS e CBS pelo regime regular em 2027. Quem não decide permanece com IBS e CBS dentro do DAS. A escolha afeta preço, crédito de clientes PJ e fluxo de caixa.</w:t>
      </w:r>
    </w:p>
    <w:bookmarkStart w:id="20" w:name="o-que-está-em-jogo"/>
    <w:p>
      <w:pPr>
        <w:pStyle w:val="Heading2"/>
      </w:pPr>
      <w:r>
        <w:t xml:space="preserve">O que está em jogo</w:t>
      </w:r>
    </w:p>
    <w:p>
      <w:pPr>
        <w:pStyle w:val="FirstParagraph"/>
      </w:pPr>
      <w:r>
        <w:t xml:space="preserve">A Resolução CGSN nº 194/2026 prorrogou para 30 de outubro de 2026 o prazo para a empresa do Simples Nacional optar pelo regime regular de IBS e CBS, com efeitos a partir de 1º de janeiro de 2027. A opção é feita no Portal do Simples Nacional, com conta gov.br de nível prata ou ouro.</w:t>
      </w:r>
    </w:p>
    <w:p>
      <w:pPr>
        <w:pStyle w:val="BodyText"/>
      </w:pPr>
      <w:r>
        <w:t xml:space="preserve">Até 20 de outubro, a Receita Federal contabilizava cerca de 917 mil solicitações de opção pelo regime regular.</w:t>
      </w:r>
    </w:p>
    <w:bookmarkEnd w:id="20"/>
    <w:bookmarkStart w:id="21" w:name="como-decidir"/>
    <w:p>
      <w:pPr>
        <w:pStyle w:val="Heading2"/>
      </w:pPr>
      <w:r>
        <w:t xml:space="preserve">Como decidir</w:t>
      </w:r>
    </w:p>
    <w:p>
      <w:pPr>
        <w:pStyle w:val="FirstParagraph"/>
      </w:pPr>
      <w:r>
        <w:t xml:space="preserve">A pergunta central é:</w:t>
      </w:r>
      <w:r>
        <w:t xml:space="preserve"> </w:t>
      </w:r>
      <w:r>
        <w:rPr>
          <w:bCs/>
          <w:b/>
        </w:rPr>
        <w:t xml:space="preserve">quem compra de você?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Cliente é pessoa jurídica no regime regular:</w:t>
      </w:r>
      <w:r>
        <w:t xml:space="preserve"> </w:t>
      </w:r>
      <w:r>
        <w:t xml:space="preserve">ele só aproveita crédito de IBS/CBS na proporção recolhida pelo Simples. Se você fica no DAS, seu produto pode ficar menos competitivo. O regime regular tende a favorecer quem vende B2B.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Cliente é consumidor final:</w:t>
      </w:r>
      <w:r>
        <w:t xml:space="preserve"> </w:t>
      </w:r>
      <w:r>
        <w:t xml:space="preserve">o crédito não importa ao comprador. Permanecer no DAS costuma preservar a simplicidade e a carga já conhecida.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Margem e insumos:</w:t>
      </w:r>
      <w:r>
        <w:t xml:space="preserve"> </w:t>
      </w:r>
      <w:r>
        <w:t xml:space="preserve">empresa com muitos insumos tributados gera crédito relevante no regime regular. Empresa de serviços, com pouco insumo, tem menos a aproveitar.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Operação administrativa:</w:t>
      </w:r>
      <w:r>
        <w:t xml:space="preserve"> </w:t>
      </w:r>
      <w:r>
        <w:t xml:space="preserve">o regime regular exige apuração própria de IBS e CBS, escrituração e emissão de documentos fiscais com os novos campos.</w:t>
      </w:r>
    </w:p>
    <w:bookmarkEnd w:id="21"/>
    <w:bookmarkStart w:id="22" w:name="cuidados-práticos"/>
    <w:p>
      <w:pPr>
        <w:pStyle w:val="Heading2"/>
      </w:pPr>
      <w:r>
        <w:t xml:space="preserve">Cuidados práticos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Simule com dados reais:</w:t>
      </w:r>
      <w:r>
        <w:t xml:space="preserve"> </w:t>
      </w:r>
      <w:r>
        <w:t xml:space="preserve">compare a carga do DAS com a carga do regime regular, considerando créditos de compras e o perfil dos principais clientes.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Consulte o contrato com clientes PJ:</w:t>
      </w:r>
      <w:r>
        <w:t xml:space="preserve"> </w:t>
      </w:r>
      <w:r>
        <w:t xml:space="preserve">cláusulas de repasse de tributos e de reequilíbrio de preço podem ser necessárias.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Confirme o enquadramento:</w:t>
      </w:r>
      <w:r>
        <w:t xml:space="preserve"> </w:t>
      </w:r>
      <w:r>
        <w:t xml:space="preserve">o prazo para pedir ingresso no Simples para 2027 já encerrou em 15 de outubro; pedidos indeferidos por pendência podem ser regularizados até 30 de outubro.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Reversão:</w:t>
      </w:r>
      <w:r>
        <w:t xml:space="preserve"> </w:t>
      </w:r>
      <w:r>
        <w:t xml:space="preserve">segundo as fontes consultadas, a opção pode ser desfeita, de forma irretratável, entre 3 e 20 de dezembro de 2026. Confirme as condições no Portal do Simples Nacional antes de decidir.</w:t>
      </w:r>
    </w:p>
    <w:bookmarkEnd w:id="22"/>
    <w:bookmarkStart w:id="23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Não existe resposta única. A decisão deve sair de uma simulação e da análise da carteira de clientes, e não de tendência de mercado. Restam poucos dias: vale revisar os números agora.</w:t>
      </w:r>
    </w:p>
    <w:p>
      <w:pPr>
        <w:pStyle w:val="BodyText"/>
      </w:pPr>
      <w:r>
        <w:rPr>
          <w:iCs/>
          <w:i/>
        </w:rPr>
        <w:t xml:space="preserve">Texto informativo, sem caráter de consultoria individual. Confirme datas e condições na Receita Federal e no Portal do Simples Nacional.</w:t>
      </w:r>
    </w:p>
    <w:p>
      <w:pPr>
        <w:pStyle w:val="BodyText"/>
      </w:pPr>
      <w:r>
        <w:rPr>
          <w:bCs/>
          <w:b/>
        </w:rPr>
        <w:t xml:space="preserve">Fontes:</w:t>
      </w:r>
      <w:r>
        <w:t xml:space="preserve"> </w:t>
      </w:r>
      <w:r>
        <w:t xml:space="preserve">Receita Federal / Ministério da Fazenda (gov.br); Resolução CGSN nº 194/2026, conforme noticiado por CBIC, Prefeitura de Porto Alegre (SMF) e reformatributaria.com.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Simples Nacional e IBS/CBS: o prazo para optar pelo regime regular termina em 30 de outubro</dc:title>
  <dc:creator/>
  <cp:keywords/>
  <dcterms:created xsi:type="dcterms:W3CDTF">2026-10-23T17:56:32Z</dcterms:created>
  <dcterms:modified xsi:type="dcterms:W3CDTF">2026-10-23T17:56:32Z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