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Texto para LinkedIn</w:t>
      </w:r>
    </w:p>
    <w:p>
      <w:pPr>
        <w:pStyle w:val="BodyText"/>
      </w:pPr>
      <w:r>
        <w:t xml:space="preserve">⚠️ Simples Nacional: faltam poucos dias para decidir sobre IBS e CBS em 2027.</w:t>
      </w:r>
    </w:p>
    <w:p>
      <w:pPr>
        <w:pStyle w:val="BodyText"/>
      </w:pPr>
      <w:r>
        <w:t xml:space="preserve">Até 30/10/2026, empresas optantes podem escolher o regime regular de IBS e CBS. Quem não optar segue recolhendo dentro do DAS.</w:t>
      </w:r>
    </w:p>
    <w:p>
      <w:pPr>
        <w:pStyle w:val="BodyText"/>
      </w:pPr>
      <w:r>
        <w:t xml:space="preserve">O que pesa na decisão:</w:t>
      </w:r>
      <w:r>
        <w:t xml:space="preserve"> </w:t>
      </w:r>
      <w:r>
        <w:t xml:space="preserve">• Seus clientes são empresas? O crédito pode influenciar o preço que elas aceitam pagar.</w:t>
      </w:r>
      <w:r>
        <w:t xml:space="preserve"> </w:t>
      </w:r>
      <w:r>
        <w:t xml:space="preserve">• Você tem muitos insumos tributados? Isso gera crédito no regime regular.</w:t>
      </w:r>
      <w:r>
        <w:t xml:space="preserve"> </w:t>
      </w:r>
      <w:r>
        <w:t xml:space="preserve">• Sua estrutura aguenta apuração e emissão fiscal mais complexas?</w:t>
      </w:r>
    </w:p>
    <w:p>
      <w:pPr>
        <w:pStyle w:val="BodyText"/>
      </w:pPr>
      <w:r>
        <w:t xml:space="preserve">Simule com números reais antes de clicar. A escolha tem efeito a partir de 1º/01/2027.</w:t>
      </w:r>
    </w:p>
    <w:p>
      <w:pPr>
        <w:pStyle w:val="BodyText"/>
      </w:pPr>
      <w:r>
        <w:t xml:space="preserve">Leia…: Manassés Lopes Advogados: https://www.manasseslopes.com</w:t>
      </w:r>
      <w:r>
        <w:t xml:space="preserve"> </w:t>
      </w:r>
      <w:r>
        <w:t xml:space="preserve">O Tributarista Minucioso: https://otributaristaminucioso.blogspot.com</w:t>
      </w:r>
    </w:p>
    <w:p>
      <w:pPr>
        <w:pStyle w:val="BodyText"/>
      </w:pPr>
      <w:r>
        <w:t xml:space="preserve">#ReformaTributária #SimplesNacional #IBS #CBS #DireitoTributário #Empresas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2026-10-23T17:56:34Z</dcterms:created>
  <dcterms:modified xsi:type="dcterms:W3CDTF">2026-10-23T17:56:34Z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