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Simples Nacional e reforma tributária: a escolha que sua empresa precisa fazer até 30 de outubro</w:t>
      </w:r>
    </w:p>
    <w:p>
      <w:r>
        <w:rPr>
          <w:i/>
        </w:rPr>
        <w:t>Como a opção pelo regime regular de IBS e CBS afeta preço, contratos e relação com clientes empresariais.</w:t>
      </w:r>
    </w:p>
    <w:p>
      <w:r>
        <w:t>Até 30 de outubro de 2026, empresas do Simples Nacional podem optar por apurar IBS e CBS pelo regime regular, com efeitos a partir de 1º de janeiro de 2027. Quem deixa o prazo passar mantém, no primeiro semestre de 2027, o recolhimento dentro do Simples.</w:t>
      </w:r>
    </w:p>
    <w:p>
      <w:pPr>
        <w:pStyle w:val="Heading2"/>
      </w:pPr>
      <w:r>
        <w:t>Base normativa</w:t>
      </w:r>
    </w:p>
    <w:p>
      <w:r>
        <w:t>A Resolução CGSN nº 194/2026, de 28 de setembro de 2026, alterou a Resolução CGSN nº 186/2026 e prorrogou os prazos. O ingresso no Simples para 2027 foi estendido até 15 de outubro; a opção pelo regime regular, até 30 de outubro.</w:t>
      </w:r>
    </w:p>
    <w:p>
      <w:pPr>
        <w:pStyle w:val="Heading2"/>
      </w:pPr>
      <w:r>
        <w:t>Como funciona</w:t>
      </w:r>
    </w:p>
    <w:p>
      <w:pPr>
        <w:pStyle w:val="ListBullet"/>
      </w:pPr>
      <w:r>
        <w:t>Opção feita no Portal do Simples Nacional.</w:t>
      </w:r>
    </w:p>
    <w:p>
      <w:pPr>
        <w:pStyle w:val="ListBullet"/>
      </w:pPr>
      <w:r>
        <w:t>Entre janeiro e junho de 2027, IBS e CBS são recolhidos fora do Simples; os demais tributos seguem no regime simplificado.</w:t>
      </w:r>
    </w:p>
    <w:p>
      <w:pPr>
        <w:pStyle w:val="ListBullet"/>
      </w:pPr>
      <w:r>
        <w:t>A opção pode ser cancelada entre 3 de novembro e 20 de dezembro de 2026.</w:t>
      </w:r>
    </w:p>
    <w:p>
      <w:pPr>
        <w:pStyle w:val="Heading2"/>
      </w:pPr>
      <w:r>
        <w:t>Impacto contratual e comercial</w:t>
      </w:r>
    </w:p>
    <w:p>
      <w:r>
        <w:t>A decisão tributária repercute nos contratos. Empresas que vendem para clientes do lucro presumido ou real podem ser pressionadas a repassar crédito de IBS e CBS, e isso se reflete em tabela de preços, reajustes e negociações em andamento.</w:t>
      </w:r>
    </w:p>
    <w:p>
      <w:pPr>
        <w:pStyle w:val="ListBullet"/>
      </w:pPr>
      <w:r>
        <w:t>Revise contratos de fornecimento de longo prazo: há cláusula de repasse de tributos ou de revisão de preço por alteração tributária?</w:t>
      </w:r>
    </w:p>
    <w:p>
      <w:pPr>
        <w:pStyle w:val="ListBullet"/>
      </w:pPr>
      <w:r>
        <w:t>Avalie se o preço pactuado considera a nova forma de destaque do imposto na nota.</w:t>
      </w:r>
    </w:p>
    <w:p>
      <w:pPr>
        <w:pStyle w:val="ListBullet"/>
      </w:pPr>
      <w:r>
        <w:t>Documente a decisão de optar ou não optar, com a simulação que a embasou, para proteger os administradores.</w:t>
      </w:r>
    </w:p>
    <w:p>
      <w:pPr>
        <w:pStyle w:val="Heading2"/>
      </w:pPr>
      <w:r>
        <w:t>Perguntas frequentes</w:t>
      </w:r>
    </w:p>
    <w:p>
      <w:r>
        <w:t>Quem perdeu o prazo de ingresso no Simples pode optar pelo regime regular? Os prazos são independentes, mas a opção pelo regime regular pressupõe ser optante do Simples. Confirme sua situação cadastral.</w:t>
      </w:r>
    </w:p>
    <w:p>
      <w:r>
        <w:t>Empresas novas têm regra própria? Sim: segundo a resolução, o corte para recém-inscritas no CNPJ é 31 de outubro para o regime regular.</w:t>
      </w:r>
    </w:p>
    <w:p>
      <w:pPr>
        <w:pStyle w:val="Heading2"/>
      </w:pPr>
      <w:r>
        <w:t>Como podemos ajudar</w:t>
      </w:r>
    </w:p>
    <w:p>
      <w:r>
        <w:t>A MLA analisa o perfil de clientes, os contratos e o impacto tributário para indicar a melhor opção antes do prazo. Entre em contato com nossa equipe.</w:t>
      </w:r>
    </w:p>
    <w:p>
      <w:r>
        <w:t>Este texto tem caráter informativo e não substitui a análise do caso concreto. Confirme prazos e regras no Portal do Simples Nacional e na Resolução CGSN nº 194/2026 antes de decidir.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