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Regime regular de IBS e CBS no Simples: o prazo acaba hoje, mas a decisão ainda tem uma saída</w:t>
      </w:r>
    </w:p>
    <w:p>
      <w:r>
        <w:t>O prazo de opção pelo regime regular de IBS e CBS no Simples Nacional termina em 30 de outubro de 2026. Há uma janela de cancelamento logo depois, e é nela que muita decisão mal calculada ainda pode ser corrigida.</w:t>
      </w:r>
    </w:p>
    <w:p>
      <w:pPr>
        <w:pStyle w:val="Heading1"/>
      </w:pPr>
      <w:r>
        <w:t>Resumo em três pontos</w:t>
      </w:r>
    </w:p>
    <w:p>
      <w:pPr>
        <w:pStyle w:val="ListNumber"/>
      </w:pPr>
      <w:r>
        <w:t>O prazo de opção termina hoje (30/10/2026), conforme a Resolução CGSN nº 194/2026.</w:t>
      </w:r>
    </w:p>
    <w:p>
      <w:pPr>
        <w:pStyle w:val="ListNumber"/>
      </w:pPr>
      <w:r>
        <w:t>Quem não optou continua no Simples, com IBS e CBS dentro do DAS no primeiro semestre de 2027.</w:t>
      </w:r>
    </w:p>
    <w:p>
      <w:pPr>
        <w:pStyle w:val="ListNumber"/>
      </w:pPr>
      <w:r>
        <w:t>Quem optou pode se arrepender, uma única vez e de forma irretratável, de 3/11 a 20/12/2026.</w:t>
      </w:r>
    </w:p>
    <w:p>
      <w:pPr>
        <w:pStyle w:val="Heading1"/>
      </w:pPr>
      <w:r>
        <w:t>1. A lógica do crédito</w:t>
      </w:r>
    </w:p>
    <w:p>
      <w:r>
        <w:t>O regime regular tira IBS e CBS do DAS. Em troca, a empresa apura os tributos pela regra geral e transfere ao adquirente crédito pelo valor efetivamente destacado. Para o cliente do regime regular, isso significa abater mais imposto na compra. Para o consumidor final, nada muda.</w:t>
      </w:r>
    </w:p>
    <w:p>
      <w:pPr>
        <w:pStyle w:val="Heading1"/>
      </w:pPr>
      <w:r>
        <w:t>2. Quem tende a ganhar e quem tende a perder</w:t>
      </w:r>
    </w:p>
    <w:p>
      <w:pPr>
        <w:pStyle w:val="ListBullet"/>
      </w:pPr>
      <w:r>
        <w:t>Ganha, em tese: fornecedor B2B com muitos insumos tributados, cuja competitividade depende do crédito ao cliente.</w:t>
      </w:r>
    </w:p>
    <w:p>
      <w:pPr>
        <w:pStyle w:val="ListBullet"/>
      </w:pPr>
      <w:r>
        <w:t>Perde, em tese: empresa B2C ou com pouca aquisição de insumos, que passa a apurar por conta própria um tributo antes embutido no DAS.</w:t>
      </w:r>
    </w:p>
    <w:p>
      <w:r>
        <w:t>A palavra 'em tese' é proposital: sem simulação com dados reais de faturamento, compras e perfil de clientes, não há como afirmar.</w:t>
      </w:r>
    </w:p>
    <w:p>
      <w:pPr>
        <w:pStyle w:val="Heading1"/>
      </w:pPr>
      <w:r>
        <w:t>3. Um alerta sobre o irretratável</w:t>
      </w:r>
    </w:p>
    <w:p>
      <w:r>
        <w:t>O cancelamento da opção é irretratável. Quem cancelar não poderá voltar atrás na mesma janela. Por isso, a simulação deve ser fechada antes de 3 de novembro e não depois de clicar no portal.</w:t>
      </w:r>
    </w:p>
    <w:p>
      <w:pPr>
        <w:pStyle w:val="Heading1"/>
      </w:pPr>
      <w:r>
        <w:t>O que fazer agora</w:t>
      </w:r>
    </w:p>
    <w:p>
      <w:pPr>
        <w:pStyle w:val="ListNumber"/>
      </w:pPr>
      <w:r>
        <w:t>Conferir no Portal do Simples Nacional o registro da opção.</w:t>
      </w:r>
    </w:p>
    <w:p>
      <w:pPr>
        <w:pStyle w:val="ListNumber"/>
      </w:pPr>
      <w:r>
        <w:t>Simular os dois cenários com os números de 2026.</w:t>
      </w:r>
    </w:p>
    <w:p>
      <w:pPr>
        <w:pStyle w:val="ListNumber"/>
      </w:pPr>
      <w:r>
        <w:t>Conversar com os principais clientes B2B sobre o impacto no crédito deles.</w:t>
      </w:r>
    </w:p>
    <w:p>
      <w:pPr>
        <w:pStyle w:val="ListNumber"/>
      </w:pPr>
      <w:r>
        <w:t>Acompanhar o ato sobre cooperativas, cujo prazo o governo discute estender até 30/11.</w:t>
      </w:r>
    </w:p>
    <w:p>
      <w:pPr>
        <w:pStyle w:val="ListNumber"/>
      </w:pPr>
      <w:r>
        <w:t>Registrar a decisão e a premissa de cálculo por escrito.</w:t>
      </w:r>
    </w:p>
    <w:p>
      <w:r>
        <w:t>Antes de decidir, peça à contabilidade uma simulação dos dois cenários.</w:t>
      </w:r>
    </w:p>
    <w:p>
      <w:r>
        <w:rPr>
          <w:i/>
        </w:rPr>
        <w:t>Este texto tem caráter informativo e não substitui a análise do caso concreto.</w:t>
      </w:r>
    </w:p>
    <w:p>
      <w:pPr>
        <w:pStyle w:val="Heading2"/>
      </w:pPr>
      <w:r>
        <w:t>Fontes</w:t>
      </w:r>
    </w:p>
    <w:p>
      <w:pPr>
        <w:pStyle w:val="ListBullet"/>
      </w:pPr>
      <w:r>
        <w:t>Ministério da Fazenda, 'Mais de 1 milhão de contribuintes já optaram pelo regime regular do IBS e da CBS' (29/10/2026).</w:t>
      </w:r>
    </w:p>
    <w:p>
      <w:pPr>
        <w:pStyle w:val="ListBullet"/>
      </w:pPr>
      <w:r>
        <w:t>Ministério da Fazenda, 'Governo discute ampliar até 30/11 o prazo de opção pelo regime da CBS e do IBS para cooperativas' (29/10/2026).</w:t>
      </w:r>
    </w:p>
    <w:p>
      <w:pPr>
        <w:pStyle w:val="ListBullet"/>
      </w:pPr>
      <w:r>
        <w:t>Resolução CGSN nº 194/2026 e Receita Federal (números de opções até 20/10/2026), conforme divulgado pela imprensa especializada.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