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Acordo</w:t>
      </w:r>
      <w:r>
        <w:t xml:space="preserve"> </w:t>
      </w:r>
      <w:r>
        <w:t xml:space="preserve">Mercosul–EFTA:</w:t>
      </w:r>
      <w:r>
        <w:t xml:space="preserve"> </w:t>
      </w:r>
      <w:r>
        <w:t xml:space="preserve">como</w:t>
      </w:r>
      <w:r>
        <w:t xml:space="preserve"> </w:t>
      </w:r>
      <w:r>
        <w:t xml:space="preserve">exportadores</w:t>
      </w:r>
      <w:r>
        <w:t xml:space="preserve"> </w:t>
      </w:r>
      <w:r>
        <w:t xml:space="preserve">e</w:t>
      </w:r>
      <w:r>
        <w:t xml:space="preserve"> </w:t>
      </w:r>
      <w:r>
        <w:t xml:space="preserve">importadores</w:t>
      </w:r>
      <w:r>
        <w:t xml:space="preserve"> </w:t>
      </w:r>
      <w:r>
        <w:t xml:space="preserve">acessam</w:t>
      </w:r>
      <w:r>
        <w:t xml:space="preserve"> </w:t>
      </w:r>
      <w:r>
        <w:t xml:space="preserve">as</w:t>
      </w:r>
      <w:r>
        <w:t xml:space="preserve"> </w:t>
      </w:r>
      <w:r>
        <w:t xml:space="preserve">cotas</w:t>
      </w:r>
      <w:r>
        <w:t xml:space="preserve"> </w:t>
      </w:r>
      <w:r>
        <w:t xml:space="preserve">a</w:t>
      </w:r>
      <w:r>
        <w:t xml:space="preserve"> </w:t>
      </w:r>
      <w:r>
        <w:t xml:space="preserve">partir</w:t>
      </w:r>
      <w:r>
        <w:t xml:space="preserve"> </w:t>
      </w:r>
      <w:r>
        <w:t xml:space="preserve">de</w:t>
      </w:r>
      <w:r>
        <w:t xml:space="preserve"> </w:t>
      </w:r>
      <w:r>
        <w:t xml:space="preserve">1º</w:t>
      </w:r>
      <w:r>
        <w:t xml:space="preserve"> </w:t>
      </w:r>
      <w:r>
        <w:t xml:space="preserve">de</w:t>
      </w:r>
      <w:r>
        <w:t xml:space="preserve"> </w:t>
      </w:r>
      <w:r>
        <w:t xml:space="preserve">novembro</w:t>
      </w:r>
    </w:p>
    <w:p>
      <w:pPr>
        <w:pStyle w:val="FirstParagraph"/>
      </w:pPr>
      <w:r>
        <w:rPr>
          <w:bCs/>
          <w:b/>
        </w:rPr>
        <w:t xml:space="preserve">Resumo:</w:t>
      </w:r>
      <w:r>
        <w:t xml:space="preserve"> </w:t>
      </w:r>
      <w:r>
        <w:t xml:space="preserve">o governo regulamentou o uso das cotas tarifárias do acordo Mercosul–EFTA. Para importar vinhos, queijos, fórmulas infantis e chocolates, vale a Portaria Secex nº 544/2026. Para exportar ao mercado norueguês, as regras passam a valer em 1º de novembro. Em ambos os casos, o acesso depende de licença prévia, e a ordem do pedido pode decidir quem aproveita o benefício.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O acordo foi assinado no Rio de Janeiro em 16 de setembro de 2025 e promulgado pelo Decreto nº 13.126, de 23 de setembro de 2026. Segundo o MDIC, a Islândia passou a aplicar o acordo em 1º de outubro, mas não abriu cotas para o Mercosul. Suíça e Liechtenstein ainda não concluíram seus procedimentos internos.</w:t>
      </w:r>
    </w:p>
    <w:bookmarkEnd w:id="20"/>
    <w:bookmarkStart w:id="21" w:name="importação-portaria-secex-nº-5442026"/>
    <w:p>
      <w:pPr>
        <w:pStyle w:val="Heading2"/>
      </w:pPr>
      <w:r>
        <w:t xml:space="preserve">Importação: Portaria Secex nº 544/2026</w:t>
      </w:r>
    </w:p>
    <w:p>
      <w:pPr>
        <w:pStyle w:val="FirstParagraph"/>
      </w:pPr>
      <w:r>
        <w:t xml:space="preserve">A portaria, de 30 de setembro e publicada no DOU de 1º de outubro, trata das cotas de importação de</w:t>
      </w:r>
      <w:r>
        <w:t xml:space="preserve"> </w:t>
      </w:r>
      <w:r>
        <w:rPr>
          <w:bCs/>
          <w:b/>
        </w:rPr>
        <w:t xml:space="preserve">vinhos, queijos, fórmulas infantis e chocolates</w:t>
      </w:r>
      <w:r>
        <w:t xml:space="preserve"> </w:t>
      </w:r>
      <w:r>
        <w:t xml:space="preserve">dos países da EFTA.</w:t>
      </w:r>
    </w:p>
    <w:p>
      <w:pPr>
        <w:numPr>
          <w:ilvl w:val="0"/>
          <w:numId w:val="1001"/>
        </w:numPr>
        <w:pStyle w:val="Compact"/>
      </w:pPr>
      <w:r>
        <w:t xml:space="preserve">Importações dentro do limite da cota recebem a preferência tarifária negociada.</w:t>
      </w:r>
    </w:p>
    <w:p>
      <w:pPr>
        <w:numPr>
          <w:ilvl w:val="0"/>
          <w:numId w:val="1001"/>
        </w:numPr>
        <w:pStyle w:val="Compact"/>
      </w:pPr>
      <w:r>
        <w:t xml:space="preserve">Esgotada a cota, as importações seguintes pagam a tarifa fora da cota.</w:t>
      </w:r>
    </w:p>
    <w:p>
      <w:pPr>
        <w:numPr>
          <w:ilvl w:val="0"/>
          <w:numId w:val="1001"/>
        </w:numPr>
        <w:pStyle w:val="Compact"/>
      </w:pPr>
      <w:r>
        <w:t xml:space="preserve">O importador pede licença no Portal Único Siscomex, e a Secex emite a licença eletrônica.</w:t>
      </w:r>
    </w:p>
    <w:p>
      <w:pPr>
        <w:numPr>
          <w:ilvl w:val="0"/>
          <w:numId w:val="1001"/>
        </w:numPr>
        <w:pStyle w:val="Compact"/>
      </w:pPr>
      <w:r>
        <w:t xml:space="preserve">A licença deve ser vinculada à Duimp em até 60 dias da emissão.</w:t>
      </w:r>
    </w:p>
    <w:p>
      <w:pPr>
        <w:numPr>
          <w:ilvl w:val="0"/>
          <w:numId w:val="1001"/>
        </w:numPr>
        <w:pStyle w:val="Compact"/>
      </w:pPr>
      <w:r>
        <w:t xml:space="preserve">Para produtos sem cota, a preferência depende de cumprir as regras de origem e demais exigências.</w:t>
      </w:r>
    </w:p>
    <w:bookmarkEnd w:id="21"/>
    <w:bookmarkStart w:id="22" w:name="Xed22e49fd96766a81b1138c2087c0c43e0060fc"/>
    <w:p>
      <w:pPr>
        <w:pStyle w:val="Heading2"/>
      </w:pPr>
      <w:r>
        <w:t xml:space="preserve">Exportação para a Noruega: regras a partir de 1º de novembro</w:t>
      </w:r>
    </w:p>
    <w:p>
      <w:pPr>
        <w:pStyle w:val="FirstParagraph"/>
      </w:pPr>
      <w:r>
        <w:t xml:space="preserve">O MDIC informou que a Secex publicou ato com os procedimentos para exportadores acessarem as cotas da Noruega. As cotas cobrem, entre outros, carne bovina, carne de frango e preparações, mel natural, batatas, maçãs frescas, trigo duro, milho, melaço de cana, suco de maçã, farinha de soja e cavalos vivos.</w:t>
      </w:r>
    </w:p>
    <w:p>
      <w:pPr>
        <w:pStyle w:val="BodyText"/>
      </w:pPr>
      <w:r>
        <w:t xml:space="preserve">Em 2026, não há divisão prévia das cotas entre os sócios do Mercosul. A alocação segue a</w:t>
      </w:r>
      <w:r>
        <w:t xml:space="preserve"> </w:t>
      </w:r>
      <w:r>
        <w:rPr>
          <w:bCs/>
          <w:b/>
        </w:rPr>
        <w:t xml:space="preserve">ordem de apresentação dos pedidos</w:t>
      </w:r>
      <w:r>
        <w:t xml:space="preserve"> </w:t>
      </w:r>
      <w:r>
        <w:t xml:space="preserve">aos governos, sujeita ao saldo disponível e a limites por operação. O fluxo, conforme a notícia do MDIC:</w:t>
      </w:r>
    </w:p>
    <w:p>
      <w:pPr>
        <w:numPr>
          <w:ilvl w:val="0"/>
          <w:numId w:val="1002"/>
        </w:numPr>
        <w:pStyle w:val="Compact"/>
      </w:pPr>
      <w:r>
        <w:t xml:space="preserve">O exportador solicita a licença de exportação no módulo LPCO do Portal Único Siscomex.</w:t>
      </w:r>
    </w:p>
    <w:p>
      <w:pPr>
        <w:numPr>
          <w:ilvl w:val="0"/>
          <w:numId w:val="1002"/>
        </w:numPr>
        <w:pStyle w:val="Compact"/>
      </w:pPr>
      <w:r>
        <w:t xml:space="preserve">A Secex confere o saldo, reserva a quantidade e concede a licença.</w:t>
      </w:r>
    </w:p>
    <w:p>
      <w:pPr>
        <w:numPr>
          <w:ilvl w:val="0"/>
          <w:numId w:val="1002"/>
        </w:numPr>
        <w:pStyle w:val="Compact"/>
      </w:pPr>
      <w:r>
        <w:t xml:space="preserve">O exportador tem 60 dias para vincular a licença à DUE.</w:t>
      </w:r>
    </w:p>
    <w:p>
      <w:pPr>
        <w:numPr>
          <w:ilvl w:val="0"/>
          <w:numId w:val="1002"/>
        </w:numPr>
        <w:pStyle w:val="Compact"/>
      </w:pPr>
      <w:r>
        <w:t xml:space="preserve">Após o desembaraço, é emitido no LPCO o Certificado de Autorização de Cotas Mercosul, necessário para pleitear o benefício na Noruega.</w:t>
      </w:r>
    </w:p>
    <w:p>
      <w:pPr>
        <w:numPr>
          <w:ilvl w:val="0"/>
          <w:numId w:val="1002"/>
        </w:numPr>
        <w:pStyle w:val="Compact"/>
      </w:pPr>
      <w:r>
        <w:t xml:space="preserve">Se a licença não for vinculada no prazo, ou for cancelada, o certificado perde efeito e o saldo volta à cota para outras empresas.</w:t>
      </w:r>
    </w:p>
    <w:bookmarkEnd w:id="22"/>
    <w:bookmarkStart w:id="23" w:name="pontos-de-atenção-para-o-empresário"/>
    <w:p>
      <w:pPr>
        <w:pStyle w:val="Heading2"/>
      </w:pPr>
      <w:r>
        <w:t xml:space="preserve">Pontos de atenção para o empresário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Planejamento de volume e calendário:</w:t>
      </w:r>
      <w:r>
        <w:t xml:space="preserve"> </w:t>
      </w:r>
      <w:r>
        <w:t xml:space="preserve">como vale a ordem de pedido, quem se prepara antes tende a ocupar o saldo.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Prazo de 60 dias:</w:t>
      </w:r>
      <w:r>
        <w:t xml:space="preserve"> </w:t>
      </w:r>
      <w:r>
        <w:t xml:space="preserve">perder o prazo devolve o saldo e inutiliza o certificado. Alinhe logística, embarque e despacho.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Contratos de compra e venda internacional:</w:t>
      </w:r>
      <w:r>
        <w:t xml:space="preserve"> </w:t>
      </w:r>
      <w:r>
        <w:t xml:space="preserve">inclua cláusulas sobre quem arca com o risco de a cota esgotar, sobre o Incoterm e sobre a revisão de preço se o benefício não for obtido.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Origem:</w:t>
      </w:r>
      <w:r>
        <w:t xml:space="preserve"> </w:t>
      </w:r>
      <w:r>
        <w:t xml:space="preserve">documente a origem da mercadoria; a preferência depende do cumprimento das regras de origem.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Norma aplicável:</w:t>
      </w:r>
      <w:r>
        <w:t xml:space="preserve"> </w:t>
      </w:r>
      <w:r>
        <w:t xml:space="preserve">as fontes divergem sobre o número do ato das cotas de exportação para a Noruega. Confira o texto no Diário Oficial da União antes de operar.</w:t>
      </w:r>
    </w:p>
    <w:p>
      <w:pPr>
        <w:pStyle w:val="FirstParagraph"/>
      </w:pPr>
      <w:r>
        <w:rPr>
          <w:iCs/>
          <w:i/>
        </w:rPr>
        <w:t xml:space="preserve">Texto informativo, sem caráter de consultoria individual. Confirme as normas vigentes no DOU e no Portal Único Siscomex.</w:t>
      </w:r>
    </w:p>
    <w:p>
      <w:pPr>
        <w:pStyle w:val="BodyText"/>
      </w:pPr>
      <w:r>
        <w:rPr>
          <w:bCs/>
          <w:b/>
        </w:rPr>
        <w:t xml:space="preserve">Fontes:</w:t>
      </w:r>
      <w:r>
        <w:t xml:space="preserve"> </w:t>
      </w:r>
      <w:r>
        <w:t xml:space="preserve">MDIC (gov.br/mdic), notícias de 2 e 20/10/2026.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Mercosul–EFTA: como exportadores e importadores acessam as cotas a partir de 1º de novembro</dc:title>
  <dc:creator/>
  <cp:keywords/>
  <dcterms:created xsi:type="dcterms:W3CDTF">2026-10-23T17:59:24Z</dcterms:created>
  <dcterms:modified xsi:type="dcterms:W3CDTF">2026-10-23T17:59:24Z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