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IBS e CBS no Simples Nacional: o prazo para optar pelo regime regular termina em 30 de outubro</w:t>
      </w:r>
    </w:p>
    <w:p>
      <w:r>
        <w:t xml:space="preserve">A decisão é curta, o prazo também. Até </w:t>
      </w:r>
      <w:r>
        <w:rPr>
          <w:b/>
        </w:rPr>
        <w:t>30 de outubro de 2026</w:t>
      </w:r>
      <w:r>
        <w:t xml:space="preserve">, toda empresa do Simples Nacional precisa decidir se, no primeiro semestre de 2027, vai recolher IBS e CBS </w:t>
      </w:r>
      <w:r>
        <w:rPr>
          <w:b/>
        </w:rPr>
        <w:t>dentro do DAS</w:t>
      </w:r>
      <w:r>
        <w:t xml:space="preserve"> ou </w:t>
      </w:r>
      <w:r>
        <w:rPr>
          <w:b/>
        </w:rPr>
        <w:t>fora dele</w:t>
      </w:r>
      <w:r>
        <w:t>, pelo regime regular. Quem não faz nada, fica no DAS.</w:t>
      </w:r>
    </w:p>
    <w:p>
      <w:r>
        <w:t>Parece uma escolha burocrática. Não é: ela muda o preço que o seu cliente pessoa jurídica enxerga na nota e o crédito que ele consegue aproveitar na compra.</w:t>
      </w:r>
    </w:p>
    <w:p>
      <w:pPr>
        <w:pStyle w:val="Heading2"/>
      </w:pPr>
      <w:r>
        <w:t>O que está em jogo</w:t>
      </w:r>
    </w:p>
    <w:p>
      <w:r>
        <w:t xml:space="preserve">A opção está prevista na regulamentação do Comitê Gestor do Simples Nacional (CGSN). O prazo original era 30 de setembro e foi estendido pela </w:t>
      </w:r>
      <w:r>
        <w:rPr>
          <w:b/>
        </w:rPr>
        <w:t>Resolução CGSN nº 194</w:t>
      </w:r>
      <w:r>
        <w:t>, publicada no Diário Oficial da União em 28 de setembro de 2026, que alterou a Resolução CGSN nº 186/2026.</w:t>
      </w:r>
    </w:p>
    <w:p>
      <w:r>
        <w:t>Funciona assim:</w:t>
      </w:r>
    </w:p>
    <w:p>
      <w:pPr>
        <w:pStyle w:val="ListBullet"/>
      </w:pPr>
      <w:r>
        <w:rPr>
          <w:b/>
        </w:rPr>
        <w:t>Não optou:</w:t>
      </w:r>
      <w:r>
        <w:t xml:space="preserve"> a empresa continua com IBS e CBS embutidos no DAS durante o primeiro semestre de 2027.</w:t>
      </w:r>
    </w:p>
    <w:p>
      <w:pPr>
        <w:pStyle w:val="ListBullet"/>
      </w:pPr>
      <w:r>
        <w:rPr>
          <w:b/>
        </w:rPr>
        <w:t>Optou pelo regime regular:</w:t>
      </w:r>
      <w:r>
        <w:t xml:space="preserve"> a empresa segue no Simples para os demais tributos, mas apura e paga IBS e CBS separadamente, pelas regras do regime regular, a partir de 1º de janeiro de 2027.</w:t>
      </w:r>
    </w:p>
    <w:p>
      <w:r>
        <w:t xml:space="preserve">Optar pelo regime regular </w:t>
      </w:r>
      <w:r>
        <w:rPr>
          <w:b/>
        </w:rPr>
        <w:t>não tira a empresa do Simples Nacional</w:t>
      </w:r>
      <w:r>
        <w:t>. É um modelo híbrido.</w:t>
      </w:r>
    </w:p>
    <w:p>
      <w:pPr>
        <w:pStyle w:val="Heading2"/>
      </w:pPr>
      <w:r>
        <w:t>Por que isso importa para quem vende para empresas</w:t>
      </w:r>
    </w:p>
    <w:p>
      <w:r>
        <w:t>No regime regular, o IBS e a CBS são destacados na nota fiscal e o comprador contribuinte aproveita crédito conforme a regra geral. Dentro do DAS, o crédito que o comprador aproveita fica limitado ao que o Simples efetivamente recolhe sobre aquela operação, que tende a ser menor.</w:t>
      </w:r>
    </w:p>
    <w:p>
      <w:r>
        <w:t>Na prática, isso muda a conversa comercial:</w:t>
      </w:r>
    </w:p>
    <w:p>
      <w:pPr>
        <w:pStyle w:val="ListBullet"/>
      </w:pPr>
      <w:r>
        <w:t xml:space="preserve">Quem vende </w:t>
      </w:r>
      <w:r>
        <w:rPr>
          <w:b/>
        </w:rPr>
        <w:t>majoritariamente para consumidor final</w:t>
      </w:r>
      <w:r>
        <w:t xml:space="preserve"> (varejo, serviços ao público) costuma ter pouco a ganhar com o regime regular, porque o cliente não aproveita crédito.</w:t>
      </w:r>
    </w:p>
    <w:p>
      <w:pPr>
        <w:pStyle w:val="ListBullet"/>
      </w:pPr>
      <w:r>
        <w:t xml:space="preserve">Quem vende </w:t>
      </w:r>
      <w:r>
        <w:rPr>
          <w:b/>
        </w:rPr>
        <w:t>para empresas do Lucro Presumido ou Real</w:t>
      </w:r>
      <w:r>
        <w:t xml:space="preserve"> pode perder competitividade se o crédito transferido for pequeno. O comprador compara o custo líquido, e não apenas o preço de tabela.</w:t>
      </w:r>
    </w:p>
    <w:p>
      <w:pPr>
        <w:pStyle w:val="ListBullet"/>
      </w:pPr>
      <w:r>
        <w:t xml:space="preserve">Quem tem </w:t>
      </w:r>
      <w:r>
        <w:rPr>
          <w:b/>
        </w:rPr>
        <w:t>muitas compras com crédito</w:t>
      </w:r>
      <w:r>
        <w:t xml:space="preserve"> (insumos, mercadorias para revenda) pode se beneficiar do aproveitamento de crédito no regime regular.</w:t>
      </w:r>
    </w:p>
    <w:p>
      <w:pPr>
        <w:pStyle w:val="Heading2"/>
      </w:pPr>
      <w:r>
        <w:t>Um exemplo numérico, só para ilustrar</w:t>
      </w:r>
    </w:p>
    <w:p>
      <w:r>
        <w:t>Os números abaixo são hipotéticos e simplificados. Servem para mostrar a lógica, não para calcular o seu caso.</w:t>
      </w:r>
    </w:p>
    <w:p>
      <w:pPr>
        <w:pStyle w:val="ListBullet"/>
      </w:pPr>
      <w:r>
        <w:t>Venda de R$ 100.000 para uma empresa do Lucro Real.</w:t>
      </w:r>
    </w:p>
    <w:p>
      <w:pPr>
        <w:pStyle w:val="ListBullet"/>
      </w:pPr>
      <w:r>
        <w:t>Dentro do DAS, suponha que a parcela de IBS e CBS embutida seja de 4%. O crédito disponível ao comprador fica em torno de R$ 4.000.</w:t>
      </w:r>
    </w:p>
    <w:p>
      <w:pPr>
        <w:pStyle w:val="ListBullet"/>
      </w:pPr>
      <w:r>
        <w:t>No regime regular, suponha alíquota de referência de 28%. O crédito do comprador, se o preço for ajustado para compor o tributo por fora, pode ser bem maior, e o seu preço líquido muda junto.</w:t>
      </w:r>
    </w:p>
    <w:p>
      <w:r>
        <w:t xml:space="preserve">O ponto não é qual regime "paga menos". É qual regime </w:t>
      </w:r>
      <w:r>
        <w:rPr>
          <w:b/>
        </w:rPr>
        <w:t>mantém o seu produto competitivo</w:t>
      </w:r>
      <w:r>
        <w:t xml:space="preserve"> para o cliente que você tem e </w:t>
      </w:r>
      <w:r>
        <w:rPr>
          <w:b/>
        </w:rPr>
        <w:t>recupera</w:t>
      </w:r>
      <w:r>
        <w:t xml:space="preserve"> o que você compra.</w:t>
      </w:r>
    </w:p>
    <w:p>
      <w:pPr>
        <w:pStyle w:val="Heading2"/>
      </w:pPr>
      <w:r>
        <w:t>Prazos que você precisa ter no radar</w:t>
      </w:r>
    </w:p>
    <w:p>
      <w:pPr>
        <w:pStyle w:val="ListBullet"/>
      </w:pPr>
      <w:r>
        <w:rPr>
          <w:b/>
        </w:rPr>
        <w:t>Até 30/10/2026:</w:t>
      </w:r>
      <w:r>
        <w:t xml:space="preserve"> opção pelo regime regular de IBS e CBS, no Portal do Simples Nacional.</w:t>
      </w:r>
    </w:p>
    <w:p>
      <w:pPr>
        <w:pStyle w:val="ListBullet"/>
      </w:pPr>
      <w:r>
        <w:rPr>
          <w:b/>
        </w:rPr>
        <w:t>Até 30/10/2026:</w:t>
      </w:r>
      <w:r>
        <w:t xml:space="preserve"> regularização de pendências que impedem o ingresso ou o retorno ao Simples em 2027, para quem teve o pedido indeferido. O prazo para o pedido em si encerrou em 15/10/2026.</w:t>
      </w:r>
    </w:p>
    <w:p>
      <w:pPr>
        <w:pStyle w:val="ListBullet"/>
      </w:pPr>
      <w:r>
        <w:rPr>
          <w:b/>
        </w:rPr>
        <w:t>De 3/11 a 20/12/2026:</w:t>
      </w:r>
      <w:r>
        <w:t xml:space="preserve"> período para cancelar a opção já feita, em caráter irretratável.</w:t>
      </w:r>
    </w:p>
    <w:p>
      <w:pPr>
        <w:pStyle w:val="ListBullet"/>
      </w:pPr>
      <w:r>
        <w:rPr>
          <w:b/>
        </w:rPr>
        <w:t>1º/01/2027:</w:t>
      </w:r>
      <w:r>
        <w:t xml:space="preserve"> início dos efeitos.</w:t>
      </w:r>
    </w:p>
    <w:p>
      <w:r>
        <w:t>Segundo o balanço da Receita Federal de 28 de setembro, já havia mais de 586 mil pedidos de opção pelo regime regular. A decisão, portanto, não é periférica.</w:t>
      </w:r>
    </w:p>
    <w:p>
      <w:pPr>
        <w:pStyle w:val="Heading2"/>
      </w:pPr>
      <w:r>
        <w:t>E o MEI?</w:t>
      </w:r>
    </w:p>
    <w:p>
      <w:r>
        <w:t>O MEI não participa dessa opção e segue o calendário próprio do SIMEI.</w:t>
      </w:r>
    </w:p>
    <w:p>
      <w:pPr>
        <w:pStyle w:val="Heading2"/>
      </w:pPr>
      <w:r>
        <w:t>O que fazer até sexta-feira</w:t>
      </w:r>
    </w:p>
    <w:p>
      <w:pPr>
        <w:pStyle w:val="ListNumber"/>
      </w:pPr>
      <w:r>
        <w:t>Separe as notas de venda dos últimos 12 meses e classifique por tipo de cliente (consumidor final, Simples, Presumido, Real).</w:t>
      </w:r>
    </w:p>
    <w:p>
      <w:pPr>
        <w:pStyle w:val="ListNumber"/>
      </w:pPr>
      <w:r>
        <w:t>Levante as compras que geram crédito e o peso delas no custo.</w:t>
      </w:r>
    </w:p>
    <w:p>
      <w:pPr>
        <w:pStyle w:val="ListNumber"/>
      </w:pPr>
      <w:r>
        <w:t>Simule o preço líquido ao cliente nos dois cenários.</w:t>
      </w:r>
    </w:p>
    <w:p>
      <w:pPr>
        <w:pStyle w:val="ListNumber"/>
      </w:pPr>
      <w:r>
        <w:t>Converse com os clientes mais relevantes: alguns já exigem o regime regular dos fornecedores.</w:t>
      </w:r>
    </w:p>
    <w:p>
      <w:pPr>
        <w:pStyle w:val="ListNumber"/>
      </w:pPr>
      <w:r>
        <w:t>Confira no Portal do Simples Nacional se há opção ou pendência registrada.</w:t>
      </w:r>
    </w:p>
    <w:p>
      <w:pPr>
        <w:pStyle w:val="ListNumber"/>
      </w:pPr>
      <w:r>
        <w:t>Registre a decisão e o motivo. Se mudar de ideia, a janela de cancelamento é de 3/11 a 20/12.</w:t>
      </w:r>
    </w:p>
    <w:p>
      <w:pPr>
        <w:pStyle w:val="Heading2"/>
      </w:pPr>
      <w:r>
        <w:t>Perguntas frequentes</w:t>
      </w:r>
    </w:p>
    <w:p>
      <w:pPr>
        <w:pStyle w:val="Heading3"/>
      </w:pPr>
      <w:r>
        <w:t>Quem não opta perde algum direito?</w:t>
      </w:r>
    </w:p>
    <w:p>
      <w:r>
        <w:t>Não. Permanece com IBS e CBS no DAS no primeiro semestre de 2027. A diferença está no crédito transferido ao comprador.</w:t>
      </w:r>
    </w:p>
    <w:p>
      <w:pPr>
        <w:pStyle w:val="Heading3"/>
      </w:pPr>
      <w:r>
        <w:t>Dá para desfazer a opção?</w:t>
      </w:r>
    </w:p>
    <w:p>
      <w:r>
        <w:t>Sim, mas somente no período de 3 de novembro a 20 de dezembro de 2026, e a decisão é irretratável.</w:t>
      </w:r>
    </w:p>
    <w:p>
      <w:pPr>
        <w:pStyle w:val="Heading3"/>
      </w:pPr>
      <w:r>
        <w:t>Optar significa sair do Simples Nacional?</w:t>
      </w:r>
    </w:p>
    <w:p>
      <w:r>
        <w:t>Não. A empresa continua no Simples para os demais tributos.</w:t>
      </w:r>
    </w:p>
    <w:p>
      <w:pPr>
        <w:pStyle w:val="Heading3"/>
      </w:pPr>
      <w:r>
        <w:t>O regime regular vale só para o primeiro semestre de 2027?</w:t>
      </w:r>
    </w:p>
    <w:p>
      <w:r>
        <w:t>As fontes consultadas tratam a opção para o primeiro semestre de 2027. Confirme no texto da Resolução CGSN nº 186/2026, com a alteração da nº 194/2026, as regras para os períodos seguintes.</w:t>
      </w:r>
    </w:p>
    <w:p>
      <w:pPr>
        <w:pStyle w:val="Heading2"/>
      </w:pPr>
      <w:r>
        <w:t>Antes de decidir</w:t>
      </w:r>
    </w:p>
    <w:p>
      <w:r>
        <w:t>A escolha depende de quem compra de você e do que você compra. O primeiro passo é cruzar carteira de clientes com estrutura de custos.</w:t>
      </w:r>
    </w:p>
    <w:p>
      <w:r>
        <w:t>A equipe tributária do Manassés Lopes Advogados pode fazer essa simulação com os dados da sua empresa. Conheça o escritório em https://www.manasseslopes.com.</w:t>
      </w:r>
    </w:p>
    <w:p>
      <w:r>
        <w:t>Este texto tem caráter informativo e não substitui a análise do caso concreto. Confira sempre a norma vigente e o Portal do Simples Nacional.</w:t>
      </w:r>
    </w:p>
    <w:p>
      <w:r>
        <w:t>Fontes: Resolução CGSN nº 194/2026 (DOU, 28/09/2026); Receita Federal, atualizações de 15 e 16/10/2026; Prefeitura de Porto Alegre; Jornal Contábil (30/09/2026).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