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Simples Nacional e IBS/CBS: prazo para escolher o regime regular acaba em 30 de outubro</w:t>
      </w:r>
    </w:p>
    <w:p>
      <w:r>
        <w:t xml:space="preserve">Falta pouco. Até </w:t>
      </w:r>
      <w:r>
        <w:rPr>
          <w:b/>
        </w:rPr>
        <w:t>30 de outubro de 2026</w:t>
      </w:r>
      <w:r>
        <w:t>, as empresas do Simples Nacional podem optar por recolher IBS e CBS fora do DAS no primeiro semestre de 2027. Quem não optar fica com os dois tributos dentro do DAS.</w:t>
      </w:r>
    </w:p>
    <w:p>
      <w:r>
        <w:t>O prazo original, 30 de setembro, foi prorrogado pela Resolução CGSN nº 194/2026, publicada em 28 de setembro.</w:t>
      </w:r>
    </w:p>
    <w:p>
      <w:pPr>
        <w:pStyle w:val="Heading2"/>
      </w:pPr>
      <w:r>
        <w:t>O caso em poucas linhas</w:t>
      </w:r>
    </w:p>
    <w:p>
      <w:r>
        <w:t>A empresa que opta continua no Simples para os demais tributos. Só IBS e CBS passam a ser apurados e pagos pelas regras do regime regular. A opção vale a partir de 1º de janeiro de 2027 e é feita no Portal do Simples Nacional.</w:t>
      </w:r>
    </w:p>
    <w:p>
      <w:pPr>
        <w:pStyle w:val="Heading2"/>
      </w:pPr>
      <w:r>
        <w:t>Por que isso importa para quem vende a empresas?</w:t>
      </w:r>
    </w:p>
    <w:p>
      <w:r>
        <w:t>Porque o crédito do comprador depende do regime do fornecedor. Dentro do DAS, o comprador aproveita apenas o valor de IBS e CBS efetivamente embutido no DAS da operação. No regime regular, o crédito segue a regra geral.</w:t>
      </w:r>
    </w:p>
    <w:p>
      <w:r>
        <w:t>O preço de tabela é igual. O custo líquido do cliente pode não ser.</w:t>
      </w:r>
    </w:p>
    <w:p>
      <w:pPr>
        <w:pStyle w:val="Heading2"/>
      </w:pPr>
      <w:r>
        <w:t>Onde o ganho tende a ser maior:</w:t>
      </w:r>
    </w:p>
    <w:p>
      <w:pPr>
        <w:pStyle w:val="ListBullet"/>
      </w:pPr>
      <w:r>
        <w:t>Empresas que vendem para contribuintes do Lucro Presumido ou Real, que valorizam crédito.</w:t>
      </w:r>
    </w:p>
    <w:p>
      <w:pPr>
        <w:pStyle w:val="ListBullet"/>
      </w:pPr>
      <w:r>
        <w:t>Empresas com muitas compras que geram crédito, como insumos e mercadorias para revenda.</w:t>
      </w:r>
    </w:p>
    <w:p>
      <w:pPr>
        <w:pStyle w:val="Heading2"/>
      </w:pPr>
      <w:r>
        <w:t>Onde o ganho tende a ser menor:</w:t>
      </w:r>
    </w:p>
    <w:p>
      <w:pPr>
        <w:pStyle w:val="ListBullet"/>
      </w:pPr>
      <w:r>
        <w:t>Empresas que vendem majoritariamente a consumidor final, que não aproveita crédito.</w:t>
      </w:r>
    </w:p>
    <w:p>
      <w:r>
        <w:t>Exemplo hipotético: uma venda de R$ 100.000 a uma empresa do Lucro Real. Com 4% de IBS e CBS embutidos no DAS, o crédito do comprador é de cerca de R$ 4.000. Pelo regime regular, o crédito acompanha a alíquota cheia destacada na nota. Se o comprador pesa o crédito na negociação, a diferença aparece na proposta comercial.</w:t>
      </w:r>
    </w:p>
    <w:p>
      <w:r>
        <w:t>Os números são ilustrativos. O seu cálculo depende do mix de clientes e de compras.</w:t>
      </w:r>
    </w:p>
    <w:p>
      <w:pPr>
        <w:pStyle w:val="Heading2"/>
      </w:pPr>
      <w:r>
        <w:t>O que vem depois de 30 de outubro?</w:t>
      </w:r>
    </w:p>
    <w:p>
      <w:pPr>
        <w:pStyle w:val="ListBullet"/>
      </w:pPr>
      <w:r>
        <w:t xml:space="preserve">De </w:t>
      </w:r>
      <w:r>
        <w:rPr>
          <w:b/>
        </w:rPr>
        <w:t>3 de novembro a 20 de dezembro de 2026</w:t>
      </w:r>
      <w:r>
        <w:t>, é possível cancelar a opção, em caráter irretratável.</w:t>
      </w:r>
    </w:p>
    <w:p>
      <w:pPr>
        <w:pStyle w:val="ListBullet"/>
      </w:pPr>
      <w:r>
        <w:t xml:space="preserve">Quem teve o pedido de ingresso no Simples indeferido por pendências pode regularizá-las até </w:t>
      </w:r>
      <w:r>
        <w:rPr>
          <w:b/>
        </w:rPr>
        <w:t>30 de outubro</w:t>
      </w:r>
      <w:r>
        <w:t>. O prazo do pedido em si terminou em 15 de outubro.</w:t>
      </w:r>
    </w:p>
    <w:p>
      <w:pPr>
        <w:pStyle w:val="ListBullet"/>
      </w:pPr>
      <w:r>
        <w:t>O MEI não participa dessa opção.</w:t>
      </w:r>
    </w:p>
    <w:p>
      <w:pPr>
        <w:pStyle w:val="Heading2"/>
      </w:pPr>
      <w:r>
        <w:t>O que fazer agora:</w:t>
      </w:r>
    </w:p>
    <w:p>
      <w:pPr>
        <w:pStyle w:val="ListNumber"/>
      </w:pPr>
      <w:r>
        <w:t>Classifique as vendas por tipo de cliente.</w:t>
      </w:r>
    </w:p>
    <w:p>
      <w:pPr>
        <w:pStyle w:val="ListNumber"/>
      </w:pPr>
      <w:r>
        <w:t>Levante as compras que geram crédito.</w:t>
      </w:r>
    </w:p>
    <w:p>
      <w:pPr>
        <w:pStyle w:val="ListNumber"/>
      </w:pPr>
      <w:r>
        <w:t>Simule o preço líquido para o cliente nos dois cenários.</w:t>
      </w:r>
    </w:p>
    <w:p>
      <w:pPr>
        <w:pStyle w:val="ListNumber"/>
      </w:pPr>
      <w:r>
        <w:t>Pergunte aos clientes relevantes se há preferência pelo regime regular.</w:t>
      </w:r>
    </w:p>
    <w:p>
      <w:pPr>
        <w:pStyle w:val="ListNumber"/>
      </w:pPr>
      <w:r>
        <w:t>Confira no Portal do Simples Nacional se há opção ou pendência registrada.</w:t>
      </w:r>
    </w:p>
    <w:p>
      <w:r>
        <w:t>A decisão é reversível apenas dentro da janela de cancelamento. Vale decidir com número, não com palpite.</w:t>
      </w:r>
    </w:p>
    <w:p>
      <w:r>
        <w:t>Este texto tem caráter informativo e não substitui a análise do caso concreto.</w:t>
      </w:r>
    </w:p>
    <w:p>
      <w:pPr>
        <w:jc w:val="left"/>
      </w:pPr>
      <w:r>
        <w:t>Por Manassés Lopes Advogados - 25/10/2026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