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Texto para LinkedIn - 25/10/2026</w:t>
      </w:r>
    </w:p>
    <w:p>
      <w:r>
        <w:rPr>
          <w:b/>
        </w:rPr>
        <w:t>Simples Nacional: faltam poucos dias para decidir como IBS e CBS serão recolhidos em 2027</w:t>
      </w:r>
    </w:p>
    <w:p/>
    <w:p>
      <w:r>
        <w:t>Até 30 de outubro, toda empresa do Simples Nacional pode optar por recolher IBS e CBS fora do DAS (regime regular) no primeiro semestre de 2027. Quem não optar fica com os tributos dentro do DAS.</w:t>
      </w:r>
    </w:p>
    <w:p/>
    <w:p>
      <w:r>
        <w:t>Por que isso importa? Porque o crédito que o seu cliente pessoa jurídica aproveita depende da sua escolha. Vender com crédito pequeno pode custar competitividade; comprar muito insumo pode tornar o regime regular vantajoso.</w:t>
      </w:r>
    </w:p>
    <w:p/>
    <w:p>
      <w:r>
        <w:t>Pontos de atenção:</w:t>
      </w:r>
    </w:p>
    <w:p>
      <w:r>
        <w:t>- A opção não tira a empresa do Simples. É um modelo híbrido.</w:t>
      </w:r>
    </w:p>
    <w:p>
      <w:r>
        <w:t>- Cancelamento só entre 3/11 e 20/12/2026, de forma irretratável.</w:t>
      </w:r>
    </w:p>
    <w:p>
      <w:r>
        <w:t>- Efeitos a partir de 1º/01/2027.</w:t>
      </w:r>
    </w:p>
    <w:p>
      <w:r>
        <w:t>- O MEI não participa dessa opção.</w:t>
      </w:r>
    </w:p>
    <w:p/>
    <w:p>
      <w:r>
        <w:t>Antes de decidir: cruze a carteira de clientes com a estrutura de custos e simule o preço líquido nos dois cenários.</w:t>
      </w:r>
    </w:p>
    <w:p/>
    <w:p>
      <w:r>
        <w:t>Leia...: Manassés Lopes Advogados: https://www.manasseslopes.com</w:t>
      </w:r>
    </w:p>
    <w:p>
      <w:r>
        <w:t>O Tributarista Minucioso: https://otributaristaminucioso.blogspot.com</w:t>
      </w:r>
    </w:p>
    <w:p/>
    <w:p>
      <w:r>
        <w:t>#ReformaTributária #SimplesNacional #IBS #CBS #Tributário #Empresas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