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Até</w:t>
      </w:r>
      <w:r>
        <w:t xml:space="preserve"> </w:t>
      </w:r>
      <w:r>
        <w:t xml:space="preserve">30</w:t>
      </w:r>
      <w:r>
        <w:t xml:space="preserve"> </w:t>
      </w:r>
      <w:r>
        <w:t xml:space="preserve">de</w:t>
      </w:r>
      <w:r>
        <w:t xml:space="preserve"> </w:t>
      </w:r>
      <w:r>
        <w:t xml:space="preserve">outubro:</w:t>
      </w:r>
      <w:r>
        <w:t xml:space="preserve"> </w:t>
      </w:r>
      <w:r>
        <w:t xml:space="preserve">sua</w:t>
      </w:r>
      <w:r>
        <w:t xml:space="preserve"> </w:t>
      </w:r>
      <w:r>
        <w:t xml:space="preserve">empresa</w:t>
      </w:r>
      <w:r>
        <w:t xml:space="preserve"> </w:t>
      </w:r>
      <w:r>
        <w:t xml:space="preserve">já</w:t>
      </w:r>
      <w:r>
        <w:t xml:space="preserve"> </w:t>
      </w:r>
      <w:r>
        <w:t xml:space="preserve">decidiu</w:t>
      </w:r>
      <w:r>
        <w:t xml:space="preserve"> </w:t>
      </w:r>
      <w:r>
        <w:t xml:space="preserve">como</w:t>
      </w:r>
      <w:r>
        <w:t xml:space="preserve"> </w:t>
      </w:r>
      <w:r>
        <w:t xml:space="preserve">vai</w:t>
      </w:r>
      <w:r>
        <w:t xml:space="preserve"> </w:t>
      </w:r>
      <w:r>
        <w:t xml:space="preserve">recolher</w:t>
      </w:r>
      <w:r>
        <w:t xml:space="preserve"> </w:t>
      </w:r>
      <w:r>
        <w:t xml:space="preserve">IBS</w:t>
      </w:r>
      <w:r>
        <w:t xml:space="preserve"> </w:t>
      </w:r>
      <w:r>
        <w:t xml:space="preserve">e</w:t>
      </w:r>
      <w:r>
        <w:t xml:space="preserve"> </w:t>
      </w:r>
      <w:r>
        <w:t xml:space="preserve">CBS</w:t>
      </w:r>
      <w:r>
        <w:t xml:space="preserve"> </w:t>
      </w:r>
      <w:r>
        <w:t xml:space="preserve">em</w:t>
      </w:r>
      <w:r>
        <w:t xml:space="preserve"> </w:t>
      </w:r>
      <w:r>
        <w:t xml:space="preserve">2027?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janela</w:t>
      </w:r>
      <w:r>
        <w:t xml:space="preserve"> </w:t>
      </w:r>
      <w:r>
        <w:t xml:space="preserve">para</w:t>
      </w:r>
      <w:r>
        <w:t xml:space="preserve"> </w:t>
      </w:r>
      <w:r>
        <w:t xml:space="preserve">optar</w:t>
      </w:r>
      <w:r>
        <w:t xml:space="preserve"> </w:t>
      </w:r>
      <w:r>
        <w:t xml:space="preserve">pelo</w:t>
      </w:r>
      <w:r>
        <w:t xml:space="preserve"> </w:t>
      </w:r>
      <w:r>
        <w:t xml:space="preserve">regime</w:t>
      </w:r>
      <w:r>
        <w:t xml:space="preserve"> </w:t>
      </w:r>
      <w:r>
        <w:t xml:space="preserve">regular</w:t>
      </w:r>
      <w:r>
        <w:t xml:space="preserve"> </w:t>
      </w:r>
      <w:r>
        <w:t xml:space="preserve">de</w:t>
      </w:r>
      <w:r>
        <w:t xml:space="preserve"> </w:t>
      </w:r>
      <w:r>
        <w:t xml:space="preserve">IBS</w:t>
      </w:r>
      <w:r>
        <w:t xml:space="preserve"> </w:t>
      </w:r>
      <w:r>
        <w:t xml:space="preserve">e</w:t>
      </w:r>
      <w:r>
        <w:t xml:space="preserve"> </w:t>
      </w:r>
      <w:r>
        <w:t xml:space="preserve">CBS</w:t>
      </w:r>
      <w:r>
        <w:t xml:space="preserve"> </w:t>
      </w:r>
      <w:r>
        <w:t xml:space="preserve">fecha</w:t>
      </w:r>
      <w:r>
        <w:t xml:space="preserve"> </w:t>
      </w:r>
      <w:r>
        <w:t xml:space="preserve">em</w:t>
      </w:r>
      <w:r>
        <w:t xml:space="preserve"> </w:t>
      </w:r>
      <w:r>
        <w:t xml:space="preserve">dois</w:t>
      </w:r>
      <w:r>
        <w:t xml:space="preserve"> </w:t>
      </w:r>
      <w:r>
        <w:t xml:space="preserve">dias,</w:t>
      </w:r>
      <w:r>
        <w:t xml:space="preserve"> </w:t>
      </w:r>
      <w:r>
        <w:t xml:space="preserve">e</w:t>
      </w:r>
      <w:r>
        <w:t xml:space="preserve"> </w:t>
      </w:r>
      <w:r>
        <w:t xml:space="preserve">quem</w:t>
      </w:r>
      <w:r>
        <w:t xml:space="preserve"> </w:t>
      </w:r>
      <w:r>
        <w:t xml:space="preserve">está</w:t>
      </w:r>
      <w:r>
        <w:t xml:space="preserve"> </w:t>
      </w:r>
      <w:r>
        <w:t xml:space="preserve">no</w:t>
      </w:r>
      <w:r>
        <w:t xml:space="preserve"> </w:t>
      </w:r>
      <w:r>
        <w:t xml:space="preserve">Simples</w:t>
      </w:r>
      <w:r>
        <w:t xml:space="preserve"> </w:t>
      </w:r>
      <w:r>
        <w:t xml:space="preserve">Nacional</w:t>
      </w:r>
      <w:r>
        <w:t xml:space="preserve"> </w:t>
      </w:r>
      <w:r>
        <w:t xml:space="preserve">precisa</w:t>
      </w:r>
      <w:r>
        <w:t xml:space="preserve"> </w:t>
      </w:r>
      <w:r>
        <w:t xml:space="preserve">avaliar</w:t>
      </w:r>
      <w:r>
        <w:t xml:space="preserve"> </w:t>
      </w:r>
      <w:r>
        <w:t xml:space="preserve">o</w:t>
      </w:r>
      <w:r>
        <w:t xml:space="preserve"> </w:t>
      </w:r>
      <w:r>
        <w:t xml:space="preserve">impacto</w:t>
      </w:r>
      <w:r>
        <w:t xml:space="preserve"> </w:t>
      </w:r>
      <w: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t xml:space="preserve">decidir.</w:t>
      </w:r>
    </w:p>
    <w:p>
      <w:pPr>
        <w:pStyle w:val="FirstParagraph"/>
      </w:pPr>
      <w:r>
        <w:t xml:space="preserve">Uma distribuidora do Simples Nacional vende principalmente para outras empresas. Seus clientes, no lucro presumido, perguntam:</w:t>
      </w:r>
      <w:r>
        <w:t xml:space="preserve"> </w:t>
      </w:r>
      <w:r>
        <w:t xml:space="preserve">“</w:t>
      </w:r>
      <w:r>
        <w:t xml:space="preserve">Quanto de crédito de IBS e CBS eu aproveito na sua nota?</w:t>
      </w:r>
      <w:r>
        <w:t xml:space="preserve">”</w:t>
      </w:r>
      <w:r>
        <w:t xml:space="preserve"> </w:t>
      </w:r>
      <w:r>
        <w:t xml:space="preserve">Se a resposta for</w:t>
      </w:r>
      <w:r>
        <w:t xml:space="preserve"> </w:t>
      </w:r>
      <w:r>
        <w:t xml:space="preserve">“</w:t>
      </w:r>
      <w:r>
        <w:t xml:space="preserve">quase nada</w:t>
      </w:r>
      <w:r>
        <w:t xml:space="preserve">”</w:t>
      </w:r>
      <w:r>
        <w:t xml:space="preserve">, o cliente passa a preferir o fornecedor que gera crédito cheio. A escolha do regime de recolhimento deixou de ser detalhe contábil e passou a ser decisão comercial.</w:t>
      </w:r>
    </w:p>
    <w:p>
      <w:pPr>
        <w:pStyle w:val="BodyText"/>
      </w:pPr>
      <w:r>
        <w:t xml:space="preserve">Essa decisão tem data. Segundo a Receita Federal, a opção pelo regime regular do IBS e da CBS segue aberta até</w:t>
      </w:r>
      <w:r>
        <w:t xml:space="preserve"> </w:t>
      </w:r>
      <w:r>
        <w:rPr>
          <w:bCs/>
          <w:b/>
        </w:rPr>
        <w:t xml:space="preserve">30 de outubro de 2026</w:t>
      </w:r>
      <w:r>
        <w:t xml:space="preserve">.</w:t>
      </w:r>
    </w:p>
    <w:bookmarkStart w:id="20" w:name="o-que-mudou-nos-números"/>
    <w:p>
      <w:pPr>
        <w:pStyle w:val="Heading2"/>
      </w:pPr>
      <w:r>
        <w:t xml:space="preserve">O que mudou nos números</w:t>
      </w:r>
    </w:p>
    <w:p>
      <w:pPr>
        <w:pStyle w:val="FirstParagraph"/>
      </w:pPr>
      <w:r>
        <w:t xml:space="preserve">Atualização divulgada pelo Ministério da Fazenda, com dados de 16 de outubro: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Simples Nacional:</w:t>
      </w:r>
      <w:r>
        <w:t xml:space="preserve"> </w:t>
      </w:r>
      <w:r>
        <w:t xml:space="preserve">o prazo para formalizar a opção terminou em 15 de outubro. Foram 657.753 solicitações, com 256.607 aprovadas e 401.146 indeferidas.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Regime regular de IBS e CBS:</w:t>
      </w:r>
      <w:r>
        <w:t xml:space="preserve"> </w:t>
      </w:r>
      <w:r>
        <w:t xml:space="preserve">917.331 solicitações até 16 de outubro, e a janela continua aberta até 30 de outubro.</w:t>
      </w:r>
    </w:p>
    <w:p>
      <w:pPr>
        <w:numPr>
          <w:ilvl w:val="0"/>
          <w:numId w:val="1001"/>
        </w:numPr>
        <w:pStyle w:val="Compact"/>
      </w:pPr>
      <w:r>
        <w:t xml:space="preserve">Quem teve o pedido do Simples indeferido ainda pode regularizar as pendências até 30 de outubro.</w:t>
      </w:r>
    </w:p>
    <w:p>
      <w:pPr>
        <w:pStyle w:val="FirstParagraph"/>
      </w:pPr>
      <w:r>
        <w:t xml:space="preserve">O número de indeferimentos chama atenção: mais de 60% dos pedidos de Simples analisados até aquela data foram negados. Em geral, isso indica pendências cadastrais ou fiscais que a empresa pode corrigir, mas só dentro do prazo.</w:t>
      </w:r>
    </w:p>
    <w:bookmarkEnd w:id="20"/>
    <w:bookmarkStart w:id="21" w:name="por-que-a-escolha-importa"/>
    <w:p>
      <w:pPr>
        <w:pStyle w:val="Heading2"/>
      </w:pPr>
      <w:r>
        <w:t xml:space="preserve">Por que a escolha importa</w:t>
      </w:r>
    </w:p>
    <w:p>
      <w:pPr>
        <w:pStyle w:val="FirstParagraph"/>
      </w:pPr>
      <w:r>
        <w:t xml:space="preserve">Empresa do Simples que permanece no regime unificado recolhe tudo em guia única. Isso simplifica a rotina, mas limita o crédito transferido ao comprador. Quem opta pelo regime regular passa a apurar IBS e CBS fora do Simples, com direito ao crédito e à possibilidade de repassá-lo aos clientes.</w:t>
      </w:r>
    </w:p>
    <w:p>
      <w:pPr>
        <w:pStyle w:val="BodyText"/>
      </w:pPr>
      <w:r>
        <w:t xml:space="preserve">Para decidir, compare três pontos: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Perfil dos clientes:</w:t>
      </w:r>
      <w:r>
        <w:t xml:space="preserve"> </w:t>
      </w:r>
      <w:r>
        <w:t xml:space="preserve">vender para consumidor final favorece a manutenção no Simples. Vender para empresas que dependem de crédito pesa a favor do regime regular.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Margem e cadeia de insumos:</w:t>
      </w:r>
      <w:r>
        <w:t xml:space="preserve"> </w:t>
      </w:r>
      <w:r>
        <w:t xml:space="preserve">quem compra muito insumo tributado tende a aproveitar mais crédito.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Capacidade operacional:</w:t>
      </w:r>
      <w:r>
        <w:t xml:space="preserve"> </w:t>
      </w:r>
      <w:r>
        <w:t xml:space="preserve">o regime regular exige apuração própria e documentos fiscais bem preenchidos.</w:t>
      </w:r>
    </w:p>
    <w:p>
      <w:pPr>
        <w:pStyle w:val="BlockText"/>
      </w:pPr>
      <w:r>
        <w:t xml:space="preserve">A simulação precisa ser feita com os números da empresa. Regra geral não substitui cálculo.</w:t>
      </w:r>
    </w:p>
    <w:bookmarkEnd w:id="21"/>
    <w:bookmarkStart w:id="22" w:name="perguntas-frequentes"/>
    <w:p>
      <w:pPr>
        <w:pStyle w:val="Heading2"/>
      </w:pPr>
      <w:r>
        <w:t xml:space="preserve">Perguntas frequentes</w:t>
      </w:r>
    </w:p>
    <w:p>
      <w:pPr>
        <w:pStyle w:val="FirstParagraph"/>
      </w:pPr>
      <w:r>
        <w:rPr>
          <w:bCs/>
          <w:b/>
        </w:rPr>
        <w:t xml:space="preserve">Quem perde o prazo pode optar depois?</w:t>
      </w:r>
      <w:r>
        <w:t xml:space="preserve"> </w:t>
      </w:r>
      <w:r>
        <w:t xml:space="preserve">Para 2027, a informação oficial é que a janela se encerra em 30 de outubro. Confirme no portal da Receita Federal se há nova oportunidade antes de assumir que não.</w:t>
      </w:r>
    </w:p>
    <w:p>
      <w:pPr>
        <w:pStyle w:val="BodyText"/>
      </w:pPr>
      <w:r>
        <w:rPr>
          <w:bCs/>
          <w:b/>
        </w:rPr>
        <w:t xml:space="preserve">Pedido indeferido do Simples significa que a empresa está fora?</w:t>
      </w:r>
      <w:r>
        <w:t xml:space="preserve"> </w:t>
      </w:r>
      <w:r>
        <w:t xml:space="preserve">Não necessariamente. Se a pendência for sanável, ela pode ser regularizada até 30 de outubro.</w:t>
      </w:r>
    </w:p>
    <w:p>
      <w:pPr>
        <w:pStyle w:val="BodyText"/>
      </w:pPr>
      <w:r>
        <w:rPr>
          <w:bCs/>
          <w:b/>
        </w:rPr>
        <w:t xml:space="preserve">Preciso de advogado para isso?</w:t>
      </w:r>
      <w:r>
        <w:t xml:space="preserve"> </w:t>
      </w:r>
      <w:r>
        <w:t xml:space="preserve">A opção é feita pelo contribuinte, mas a decisão tem efeito comercial e tributário por um ano. Vale a análise prévia.</w:t>
      </w:r>
    </w:p>
    <w:bookmarkEnd w:id="22"/>
    <w:bookmarkStart w:id="23" w:name="o-que-fazer-nos-próximos-dois-dias"/>
    <w:p>
      <w:pPr>
        <w:pStyle w:val="Heading2"/>
      </w:pPr>
      <w:r>
        <w:t xml:space="preserve">O que fazer nos próximos dois dias</w:t>
      </w:r>
    </w:p>
    <w:p>
      <w:pPr>
        <w:numPr>
          <w:ilvl w:val="0"/>
          <w:numId w:val="1003"/>
        </w:numPr>
        <w:pStyle w:val="Compact"/>
      </w:pPr>
      <w:r>
        <w:t xml:space="preserve">Levantar a carteira de clientes por perfil (pessoa física ou empresa).</w:t>
      </w:r>
    </w:p>
    <w:p>
      <w:pPr>
        <w:numPr>
          <w:ilvl w:val="0"/>
          <w:numId w:val="1003"/>
        </w:numPr>
        <w:pStyle w:val="Compact"/>
      </w:pPr>
      <w:r>
        <w:t xml:space="preserve">Simular o custo total nos dois cenários.</w:t>
      </w:r>
    </w:p>
    <w:p>
      <w:pPr>
        <w:numPr>
          <w:ilvl w:val="0"/>
          <w:numId w:val="1003"/>
        </w:numPr>
        <w:pStyle w:val="Compact"/>
      </w:pPr>
      <w:r>
        <w:t xml:space="preserve">Conferir se há pendência que impede o Simples e regularizá-la.</w:t>
      </w:r>
    </w:p>
    <w:p>
      <w:pPr>
        <w:numPr>
          <w:ilvl w:val="0"/>
          <w:numId w:val="1003"/>
        </w:numPr>
        <w:pStyle w:val="Compact"/>
      </w:pPr>
      <w:r>
        <w:t xml:space="preserve">Formalizar a opção no canal oficial antes do fim do prazo.</w:t>
      </w:r>
    </w:p>
    <w:p>
      <w:pPr>
        <w:pStyle w:val="FirstParagraph"/>
      </w:pPr>
      <w:r>
        <w:t xml:space="preserve">A opção feita ou não feita agora define o regime da empresa em 2027. A equipe tributária da Manassés Lopes Advogados pode fazer essa simulação com os dados da sua empresa.</w:t>
      </w:r>
    </w:p>
    <w:p>
      <w:pPr>
        <w:pStyle w:val="BodyText"/>
      </w:pPr>
      <w:r>
        <w:rPr>
          <w:iCs/>
          <w:i/>
        </w:rPr>
        <w:t xml:space="preserve">Fonte: Ministério da Fazenda,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Receita atualiza solicitações de opção pelo Simples Nacional e pelo regime regular do IBS e da CBS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(atualizada em 26/10/2026). Texto informativo, que não substitui a análise do caso concreto.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Até 30 de outubro: sua empresa já decidiu como vai recolher IBS e CBS em 2027?</dc:title>
  <dc:creator/>
  <cp:keywords/>
  <dcterms:created xsi:type="dcterms:W3CDTF">2026-10-28T21:42:37Z</dcterms:created>
  <dcterms:modified xsi:type="dcterms:W3CDTF">2026-10-28T21:42:37Z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janela para optar pelo regime regular de IBS e CBS fecha em dois dias, e quem está no Simples Nacional precisa avaliar o impacto antes de decidir.</vt:lpwstr>
  </property>
</Properties>
</file>