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extos-para-linkedin"/>
    <w:p>
      <w:pPr>
        <w:pStyle w:val="Heading1"/>
      </w:pPr>
      <w:r>
        <w:t xml:space="preserve">Textos para LinkedIn</w:t>
      </w:r>
    </w:p>
    <w:bookmarkStart w:id="20" w:name="Xfb24e982c39c6672b43ab9c1243565f7cad5f78"/>
    <w:p>
      <w:pPr>
        <w:pStyle w:val="Heading2"/>
      </w:pPr>
      <w:r>
        <w:t xml:space="preserve">Post 1: artigo MLA (regime regular de IBS e CBS)</w:t>
      </w:r>
    </w:p>
    <w:p>
      <w:pPr>
        <w:pStyle w:val="FirstParagraph"/>
      </w:pPr>
      <w:r>
        <w:t xml:space="preserve">Faltam dois dias para o fim da janela de opção pelo regime regular de IBS e CBS (30/10/2026).</w:t>
      </w:r>
    </w:p>
    <w:p>
      <w:pPr>
        <w:pStyle w:val="BodyText"/>
      </w:pPr>
      <w:r>
        <w:t xml:space="preserve">Dados da Receita até 16/10: 917.331 pedidos para o regime regular. No Simples Nacional, 401.146 de 657.753 pedidos foram indeferidos, e quem teve o pedido negado ainda pode regularizar pendências até 30/10.</w:t>
      </w:r>
    </w:p>
    <w:p>
      <w:pPr>
        <w:pStyle w:val="BodyText"/>
      </w:pPr>
      <w:r>
        <w:t xml:space="preserve">Por que importa: a escolha define quanto crédito de IBS e CBS seus clientes empresas aproveitam nas suas notas, e isso pesa na competitividade em 2027. Simule os dois cenários com os números da sua empresa antes de decidir.</w:t>
      </w:r>
    </w:p>
    <w:p>
      <w:pPr>
        <w:pStyle w:val="BodyText"/>
      </w:pPr>
      <w:r>
        <w:t xml:space="preserve">Leia o artigo completo:</w:t>
      </w:r>
      <w:r>
        <w:t xml:space="preserve"> </w:t>
      </w:r>
      <w:r>
        <w:t xml:space="preserve">Leia…: Manassés Lopes Advogados: https://www.manasseslopes.com</w:t>
      </w:r>
      <w:r>
        <w:t xml:space="preserve"> </w:t>
      </w:r>
      <w:r>
        <w:t xml:space="preserve">O Tributarista Minucioso: https://otributaristaminucioso.blogspot.com</w:t>
      </w:r>
    </w:p>
    <w:bookmarkEnd w:id="20"/>
    <w:bookmarkStart w:id="21" w:name="X7f695a271488b610eaef2b8709cbc943697c94f"/>
    <w:p>
      <w:pPr>
        <w:pStyle w:val="Heading2"/>
      </w:pPr>
      <w:r>
        <w:t xml:space="preserve">Post 2: artigo O Tributarista Minucioso (nanoempreendedores e MEIs)</w:t>
      </w:r>
    </w:p>
    <w:p>
      <w:pPr>
        <w:pStyle w:val="FirstParagraph"/>
      </w:pPr>
      <w:r>
        <w:t xml:space="preserve">Decreto 13.140/2026 e Resolução CGSN 195/2026: nanoempreendedores ficam dispensados de CNPJ e de nota fiscal eletrônica de IBS/CBS, e o MEI poderá usar a DASN-Simei como documento fiscal nas vendas a pessoas físicas.</w:t>
      </w:r>
    </w:p>
    <w:p>
      <w:pPr>
        <w:pStyle w:val="BodyText"/>
      </w:pPr>
      <w:r>
        <w:t xml:space="preserve">Cuidado: a notícia oficial não traz o conceito de nanoempreendedor nem os limites. Leia as normas antes de deixar de emitir qualquer documento.</w:t>
      </w:r>
    </w:p>
    <w:p>
      <w:pPr>
        <w:pStyle w:val="BodyText"/>
      </w:pPr>
      <w:r>
        <w:t xml:space="preserve">Leia…: Manassés Lopes Advogados: https://www.manasseslopes.com</w:t>
      </w:r>
      <w:r>
        <w:t xml:space="preserve"> </w:t>
      </w:r>
      <w:r>
        <w:t xml:space="preserve">O Tributarista Minucioso: https://otributaristaminucioso.blogspot.com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2026-10-28T21:42:37Z</dcterms:created>
  <dcterms:modified xsi:type="dcterms:W3CDTF">2026-10-28T21:42:37Z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