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Financiamento</w:t>
      </w:r>
      <w:r>
        <w:t xml:space="preserve"> </w:t>
      </w:r>
      <w:r>
        <w:t xml:space="preserve">DIP</w:t>
      </w:r>
      <w:r>
        <w:t xml:space="preserve"> </w:t>
      </w:r>
      <w:r>
        <w:t xml:space="preserve">em</w:t>
      </w:r>
      <w:r>
        <w:t xml:space="preserve"> </w:t>
      </w:r>
      <w:r>
        <w:t xml:space="preserve">recuperação</w:t>
      </w:r>
      <w:r>
        <w:t xml:space="preserve"> </w:t>
      </w:r>
      <w:r>
        <w:t xml:space="preserve">judicial:</w:t>
      </w:r>
      <w:r>
        <w:t xml:space="preserve"> </w:t>
      </w:r>
      <w:r>
        <w:t xml:space="preserve">o</w:t>
      </w:r>
      <w:r>
        <w:t xml:space="preserve"> </w:t>
      </w:r>
      <w:r>
        <w:t xml:space="preserve">que</w:t>
      </w:r>
      <w:r>
        <w:t xml:space="preserve"> </w:t>
      </w:r>
      <w:r>
        <w:t xml:space="preserve">o</w:t>
      </w:r>
      <w:r>
        <w:t xml:space="preserve"> </w:t>
      </w:r>
      <w:r>
        <w:t xml:space="preserve">caso</w:t>
      </w:r>
      <w:r>
        <w:t xml:space="preserve"> </w:t>
      </w:r>
      <w:r>
        <w:t xml:space="preserve">Casas</w:t>
      </w:r>
      <w:r>
        <w:t xml:space="preserve"> </w:t>
      </w:r>
      <w:r>
        <w:t xml:space="preserve">Bahia</w:t>
      </w:r>
      <w:r>
        <w:t xml:space="preserve"> </w:t>
      </w:r>
      <w:r>
        <w:t xml:space="preserve">ensina</w:t>
      </w:r>
      <w:r>
        <w:t xml:space="preserve"> </w:t>
      </w:r>
      <w:r>
        <w:t xml:space="preserve">a</w:t>
      </w:r>
      <w:r>
        <w:t xml:space="preserve"> </w:t>
      </w:r>
      <w:r>
        <w:t xml:space="preserve">credores,</w:t>
      </w:r>
      <w:r>
        <w:t xml:space="preserve"> </w:t>
      </w:r>
      <w:r>
        <w:t xml:space="preserve">fornecedores</w:t>
      </w:r>
      <w:r>
        <w:t xml:space="preserve"> </w:t>
      </w:r>
      <w:r>
        <w:t xml:space="preserve">e</w:t>
      </w:r>
      <w:r>
        <w:t xml:space="preserve"> </w:t>
      </w:r>
      <w:r>
        <w:t xml:space="preserve">empresas</w:t>
      </w:r>
      <w:r>
        <w:t xml:space="preserve"> </w:t>
      </w:r>
      <w:r>
        <w:t xml:space="preserve">em</w:t>
      </w:r>
      <w:r>
        <w:t xml:space="preserve"> </w:t>
      </w:r>
      <w:r>
        <w:t xml:space="preserve">crise</w:t>
      </w:r>
    </w:p>
    <w:p>
      <w:pPr>
        <w:pStyle w:val="FirstParagraph"/>
      </w:pPr>
      <w:r>
        <w:rPr>
          <w:iCs/>
          <w:i/>
        </w:rPr>
        <w:t xml:space="preserve">Análise jurídica e de mercado sobre o crédito novo em recuperação judicial</w:t>
      </w:r>
    </w:p>
    <w:bookmarkStart w:id="20" w:name="resumo-executivo"/>
    <w:p>
      <w:pPr>
        <w:pStyle w:val="Heading2"/>
      </w:pPr>
      <w:r>
        <w:t xml:space="preserve">Resumo executivo</w:t>
      </w:r>
    </w:p>
    <w:p>
      <w:pPr>
        <w:pStyle w:val="FirstParagraph"/>
      </w:pPr>
      <w:r>
        <w:t xml:space="preserve">A recuperação judicial do grupo Casas Bahia, pedida em 16 de agosto de 2026 com cerca de R$ 17,3 bilhões em passivo e nove empresas envolvidas, colocou em evidência o</w:t>
      </w:r>
      <w:r>
        <w:t xml:space="preserve"> </w:t>
      </w:r>
      <w:r>
        <w:rPr>
          <w:bCs/>
          <w:b/>
        </w:rPr>
        <w:t xml:space="preserve">financiamento DIP</w:t>
      </w:r>
      <w:r>
        <w:t xml:space="preserve"> </w:t>
      </w:r>
      <w:r>
        <w:t xml:space="preserve">(</w:t>
      </w:r>
      <w:r>
        <w:rPr>
          <w:iCs/>
          <w:i/>
        </w:rPr>
        <w:t xml:space="preserve">debtor-in-possession</w:t>
      </w:r>
      <w:r>
        <w:t xml:space="preserve">): o crédito novo concedido à empresa já em recuperação para que ela continue operando. A Exame destacou em sua capa de hoje que a recuperação</w:t>
      </w:r>
      <w:r>
        <w:t xml:space="preserve"> </w:t>
      </w:r>
      <w:r>
        <w:t xml:space="preserve">“</w:t>
      </w:r>
      <w:r>
        <w:t xml:space="preserve">abre caminho para crédito novo</w:t>
      </w:r>
      <w:r>
        <w:t xml:space="preserve">”</w:t>
      </w:r>
      <w:r>
        <w:t xml:space="preserve">. Reportagens de agosto e setembro indicam que a empresa buscava inicialmente até R$ 1 bilhão e que a negociação mais avançada seria de R$ 200 milhões com um grande banco, o que sugere uma primeira rodada menor que a meta. Não encontramos confirmação oficial do fechamento ou das condições; o ponto relevante aqui é o</w:t>
      </w:r>
      <w:r>
        <w:t xml:space="preserve"> </w:t>
      </w:r>
      <w:r>
        <w:rPr>
          <w:bCs/>
          <w:b/>
        </w:rPr>
        <w:t xml:space="preserve">mecanismo jurídico e o que ele muda para cada ator da cadeia</w:t>
      </w:r>
      <w:r>
        <w:t xml:space="preserve">.</w:t>
      </w:r>
    </w:p>
    <w:bookmarkEnd w:id="20"/>
    <w:bookmarkStart w:id="21" w:name="o-que-é-o-dip-e-como-a-lei-o-trata"/>
    <w:p>
      <w:pPr>
        <w:pStyle w:val="Heading2"/>
      </w:pPr>
      <w:r>
        <w:t xml:space="preserve">1. O que é o DIP e como a lei o trata</w:t>
      </w:r>
    </w:p>
    <w:p>
      <w:pPr>
        <w:pStyle w:val="FirstParagraph"/>
      </w:pPr>
      <w:r>
        <w:t xml:space="preserve">A Lei nº 14.112/2020, que reformou a Lei de Recuperação e Falência (Lei nº 11.101/2005), incluiu os artigos 69-A a 69-F, que disciplinam o financiamento do devedor em recuperação judicial. Em síntese:</w:t>
      </w:r>
    </w:p>
    <w:p>
      <w:pPr>
        <w:numPr>
          <w:ilvl w:val="0"/>
          <w:numId w:val="1001"/>
        </w:numPr>
        <w:pStyle w:val="Compact"/>
      </w:pPr>
      <w:r>
        <w:t xml:space="preserve">O juiz pode</w:t>
      </w:r>
      <w:r>
        <w:t xml:space="preserve"> </w:t>
      </w:r>
      <w:r>
        <w:rPr>
          <w:bCs/>
          <w:b/>
        </w:rPr>
        <w:t xml:space="preserve">autorizar</w:t>
      </w:r>
      <w:r>
        <w:t xml:space="preserve"> </w:t>
      </w:r>
      <w:r>
        <w:t xml:space="preserve">a contratação do financiamento, desde que o objetivo seja financiar as atividades e as despesas de reestruturação ou preservar o valor de ativos.</w:t>
      </w:r>
    </w:p>
    <w:p>
      <w:pPr>
        <w:numPr>
          <w:ilvl w:val="0"/>
          <w:numId w:val="1001"/>
        </w:numPr>
        <w:pStyle w:val="Compact"/>
      </w:pPr>
      <w:r>
        <w:t xml:space="preserve">A operação pode ser garantida por</w:t>
      </w:r>
      <w:r>
        <w:t xml:space="preserve"> </w:t>
      </w:r>
      <w:r>
        <w:rPr>
          <w:bCs/>
          <w:b/>
        </w:rPr>
        <w:t xml:space="preserve">bens e direitos do devedor</w:t>
      </w:r>
      <w:r>
        <w:t xml:space="preserve">, inclusive os já gravados, nas condições previstas em lei, o que costuma ser a chave para atrair o financiador.</w:t>
      </w:r>
    </w:p>
    <w:p>
      <w:pPr>
        <w:numPr>
          <w:ilvl w:val="0"/>
          <w:numId w:val="1001"/>
        </w:numPr>
        <w:pStyle w:val="Compact"/>
      </w:pPr>
      <w:r>
        <w:t xml:space="preserve">O crédito recebe tratamento diferenciado na ordem de pagamento (</w:t>
      </w:r>
      <w:r>
        <w:rPr>
          <w:bCs/>
          <w:b/>
        </w:rPr>
        <w:t xml:space="preserve">superprioridade</w:t>
      </w:r>
      <w:r>
        <w:t xml:space="preserve">), de modo que, em uma eventual falência, o financiador tende a receber antes de outros créditos.</w:t>
      </w:r>
    </w:p>
    <w:p>
      <w:pPr>
        <w:numPr>
          <w:ilvl w:val="0"/>
          <w:numId w:val="1001"/>
        </w:numPr>
        <w:pStyle w:val="Compact"/>
      </w:pPr>
      <w:r>
        <w:t xml:space="preserve">Há</w:t>
      </w:r>
      <w:r>
        <w:t xml:space="preserve"> </w:t>
      </w:r>
      <w:r>
        <w:rPr>
          <w:bCs/>
          <w:b/>
        </w:rPr>
        <w:t xml:space="preserve">proteção ao financiador de boa-fé</w:t>
      </w:r>
      <w:r>
        <w:t xml:space="preserve"> </w:t>
      </w:r>
      <w:r>
        <w:t xml:space="preserve">contra a reforma ou anulação posterior da decisão que autorizou a operação, para dar segurança jurídica a quem emprestou.</w:t>
      </w:r>
    </w:p>
    <w:p>
      <w:pPr>
        <w:pStyle w:val="FirstParagraph"/>
      </w:pPr>
      <w:r>
        <w:t xml:space="preserve">A leitura exata de cada dispositivo deve ser confirmada no texto legal e na decisão do caso concreto. Mas o desenho é claro: a lei oferece</w:t>
      </w:r>
      <w:r>
        <w:t xml:space="preserve"> </w:t>
      </w:r>
      <w:r>
        <w:rPr>
          <w:bCs/>
          <w:b/>
        </w:rPr>
        <w:t xml:space="preserve">garantia e prioridade em troca de dinheiro novo</w:t>
      </w:r>
      <w:r>
        <w:t xml:space="preserve">.</w:t>
      </w:r>
    </w:p>
    <w:bookmarkEnd w:id="21"/>
    <w:bookmarkStart w:id="22" w:name="por-que-o-dip-importa-para-o-mercado"/>
    <w:p>
      <w:pPr>
        <w:pStyle w:val="Heading2"/>
      </w:pPr>
      <w:r>
        <w:t xml:space="preserve">2. Por que o DIP importa para o mercado</w:t>
      </w:r>
    </w:p>
    <w:p>
      <w:pPr>
        <w:pStyle w:val="FirstParagraph"/>
      </w:pPr>
      <w:r>
        <w:rPr>
          <w:bCs/>
          <w:b/>
        </w:rPr>
        <w:t xml:space="preserve">Para a empresa em crise,</w:t>
      </w:r>
      <w:r>
        <w:t xml:space="preserve"> </w:t>
      </w:r>
      <w:r>
        <w:t xml:space="preserve">o DIP resolve o problema que mata a maioria das recuperações: o caixa. Sem capital de giro, o fornecedor deixa de entregar, a operação encolhe e o plano de recuperação perde objeto.</w:t>
      </w:r>
    </w:p>
    <w:p>
      <w:pPr>
        <w:pStyle w:val="BodyText"/>
      </w:pPr>
      <w:r>
        <w:rPr>
          <w:bCs/>
          <w:b/>
        </w:rPr>
        <w:t xml:space="preserve">Para o financiador,</w:t>
      </w:r>
      <w:r>
        <w:t xml:space="preserve"> </w:t>
      </w:r>
      <w:r>
        <w:t xml:space="preserve">é um risco calculado. A empresa já está em recuperação, mas o crédito vem com garantia e prioridade, e o retorno costuma refletir esse risco. Bancos, fundos e</w:t>
      </w:r>
      <w:r>
        <w:t xml:space="preserve"> </w:t>
      </w:r>
      <w:r>
        <w:rPr>
          <w:iCs/>
          <w:i/>
        </w:rPr>
        <w:t xml:space="preserve">special situations</w:t>
      </w:r>
      <w:r>
        <w:t xml:space="preserve"> </w:t>
      </w:r>
      <w:r>
        <w:t xml:space="preserve">disputam essas operações, e o modelo tende a se tornar mais comum à medida que mais casos de grande porte chegam à recuperação.</w:t>
      </w:r>
    </w:p>
    <w:p>
      <w:pPr>
        <w:pStyle w:val="BodyText"/>
      </w:pPr>
      <w:r>
        <w:rPr>
          <w:bCs/>
          <w:b/>
        </w:rPr>
        <w:t xml:space="preserve">Para os credores existentes,</w:t>
      </w:r>
      <w:r>
        <w:t xml:space="preserve"> </w:t>
      </w:r>
      <w:r>
        <w:t xml:space="preserve">há um efeito que merece atenção: a garantia concedida ao novo financiador pode reduzir o patrimônio livre para pagar os credores antigos. O DIP pode ser bom para todos se financiar a continuidade e preservar valor, e ruim para os quirografários se apenas postergar um desfecho inevitável.</w:t>
      </w:r>
    </w:p>
    <w:p>
      <w:pPr>
        <w:pStyle w:val="BodyText"/>
      </w:pPr>
      <w:r>
        <w:rPr>
          <w:bCs/>
          <w:b/>
        </w:rPr>
        <w:t xml:space="preserve">Para fornecedores e parceiros comerciais,</w:t>
      </w:r>
      <w:r>
        <w:t xml:space="preserve"> </w:t>
      </w:r>
      <w:r>
        <w:t xml:space="preserve">o DIP é um sinal. A existência de crédito novo indica que alguém com acesso a informações privilegiadas considerou a empresa viável. Não é garantia de pagamento, mas muda a conversa de crédito.</w:t>
      </w:r>
    </w:p>
    <w:bookmarkEnd w:id="22"/>
    <w:bookmarkStart w:id="23" w:name="insights-de-mercado"/>
    <w:p>
      <w:pPr>
        <w:pStyle w:val="Heading2"/>
      </w:pPr>
      <w:r>
        <w:t xml:space="preserve">3. Insights de mercado</w:t>
      </w:r>
    </w:p>
    <w:p>
      <w:pPr>
        <w:pStyle w:val="FirstParagraph"/>
      </w:pPr>
      <w:r>
        <w:rPr>
          <w:bCs/>
          <w:b/>
        </w:rPr>
        <w:t xml:space="preserve">O varejo e as cadeias dependentes sentem primeiro.</w:t>
      </w:r>
      <w:r>
        <w:t xml:space="preserve"> </w:t>
      </w:r>
      <w:r>
        <w:t xml:space="preserve">Em uma varejista de grande porte, o fornecedor concentra risco: entrega mercadoria, sobe a exposição e, se a empresa não consegue girar o estoque, o prejuízo vem em cascata. Fabricantes e distribuidores dependentes de um único grande cliente devem rever limites de crédito e prazos.</w:t>
      </w:r>
    </w:p>
    <w:p>
      <w:pPr>
        <w:pStyle w:val="BodyText"/>
      </w:pPr>
      <w:r>
        <w:rPr>
          <w:bCs/>
          <w:b/>
        </w:rPr>
        <w:t xml:space="preserve">Créditos extraconcursais viram tema estratégico.</w:t>
      </w:r>
      <w:r>
        <w:t xml:space="preserve"> </w:t>
      </w:r>
      <w:r>
        <w:t xml:space="preserve">Quem fornece após o pedido de recuperação, em regra, tem créditos que não se submetem ao plano. Isso cria um incentivo para continuar vendendo, mas</w:t>
      </w:r>
      <w:r>
        <w:t xml:space="preserve"> </w:t>
      </w:r>
      <w:r>
        <w:rPr>
          <w:bCs/>
          <w:b/>
        </w:rPr>
        <w:t xml:space="preserve">com cautela</w:t>
      </w:r>
      <w:r>
        <w:t xml:space="preserve">: o crédito extraconcursal não elimina o risco de inadimplência, apenas melhora a posição do credor se o pagamento for exigido.</w:t>
      </w:r>
    </w:p>
    <w:p>
      <w:pPr>
        <w:pStyle w:val="BodyText"/>
      </w:pPr>
      <w:r>
        <w:rPr>
          <w:bCs/>
          <w:b/>
        </w:rPr>
        <w:t xml:space="preserve">O custo do DIP é informação.</w:t>
      </w:r>
      <w:r>
        <w:t xml:space="preserve"> </w:t>
      </w:r>
      <w:r>
        <w:t xml:space="preserve">Taxas, garantias exigidas e a estrutura da operação mostram como o mercado precifica a empresa. Credores atentos acompanham esses termos nos autos.</w:t>
      </w:r>
    </w:p>
    <w:p>
      <w:pPr>
        <w:pStyle w:val="BodyText"/>
      </w:pPr>
      <w:r>
        <w:rPr>
          <w:bCs/>
          <w:b/>
        </w:rPr>
        <w:t xml:space="preserve">Cláusulas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ipso facto</w:t>
      </w:r>
      <w:r>
        <w:rPr>
          <w:bCs/>
          <w:b/>
        </w:rPr>
        <w:t xml:space="preserve"> </w:t>
      </w:r>
      <w:r>
        <w:rPr>
          <w:bCs/>
          <w:b/>
        </w:rPr>
        <w:t xml:space="preserve">ganham importância.</w:t>
      </w:r>
      <w:r>
        <w:t xml:space="preserve"> </w:t>
      </w:r>
      <w:r>
        <w:t xml:space="preserve">A discussão sobre cláusulas que autorizam o vencimento antecipado ou a rescisão contratual por conta da recuperação foi apontada pela imprensa especializada como ponto central do caso. Contratos empresariais em geral devem prever com clareza o que acontece se uma das partes entrar em recuperação.</w:t>
      </w:r>
    </w:p>
    <w:bookmarkEnd w:id="23"/>
    <w:bookmarkStart w:id="24" w:name="riscos-e-cuidados-práticos"/>
    <w:p>
      <w:pPr>
        <w:pStyle w:val="Heading2"/>
      </w:pPr>
      <w:r>
        <w:t xml:space="preserve">4. Riscos e cuidados práticos</w:t>
      </w:r>
    </w:p>
    <w:p>
      <w:pPr>
        <w:pStyle w:val="FirstParagraph"/>
      </w:pPr>
      <w:r>
        <w:rPr>
          <w:bCs/>
          <w:b/>
        </w:rPr>
        <w:t xml:space="preserve">Se você é fornecedor ou credor de empresa em recuperação:</w:t>
      </w:r>
    </w:p>
    <w:p>
      <w:pPr>
        <w:numPr>
          <w:ilvl w:val="0"/>
          <w:numId w:val="1002"/>
        </w:numPr>
        <w:pStyle w:val="Compact"/>
      </w:pPr>
      <w:r>
        <w:t xml:space="preserve">Habilite o crédito no prazo e confira a classificação, pois ela define a forma e o prazo de recebimento.</w:t>
      </w:r>
    </w:p>
    <w:p>
      <w:pPr>
        <w:numPr>
          <w:ilvl w:val="0"/>
          <w:numId w:val="1002"/>
        </w:numPr>
        <w:pStyle w:val="Compact"/>
      </w:pPr>
      <w:r>
        <w:t xml:space="preserve">Acompanhe os autos: pedidos de DIP, garantias oferecidas e decisões de autorização ficam públicos.</w:t>
      </w:r>
    </w:p>
    <w:p>
      <w:pPr>
        <w:numPr>
          <w:ilvl w:val="0"/>
          <w:numId w:val="1002"/>
        </w:numPr>
        <w:pStyle w:val="Compact"/>
      </w:pPr>
      <w:r>
        <w:t xml:space="preserve">Reavalie limites de crédito e exija</w:t>
      </w:r>
      <w:r>
        <w:t xml:space="preserve"> </w:t>
      </w:r>
      <w:r>
        <w:rPr>
          <w:bCs/>
          <w:b/>
        </w:rPr>
        <w:t xml:space="preserve">pagamento antecipado ou garantias</w:t>
      </w:r>
      <w:r>
        <w:t xml:space="preserve"> </w:t>
      </w:r>
      <w:r>
        <w:t xml:space="preserve">para novas entregas, quando fizer sentido comercial.</w:t>
      </w:r>
    </w:p>
    <w:p>
      <w:pPr>
        <w:numPr>
          <w:ilvl w:val="0"/>
          <w:numId w:val="1002"/>
        </w:numPr>
        <w:pStyle w:val="Compact"/>
      </w:pPr>
      <w:r>
        <w:t xml:space="preserve">Considere participar do comitê de credores ou de negociações coletivas quando houver espaço.</w:t>
      </w:r>
    </w:p>
    <w:p>
      <w:pPr>
        <w:pStyle w:val="FirstParagraph"/>
      </w:pPr>
      <w:r>
        <w:rPr>
          <w:bCs/>
          <w:b/>
        </w:rPr>
        <w:t xml:space="preserve">Se você é gestor de empresa saudável:</w:t>
      </w:r>
    </w:p>
    <w:p>
      <w:pPr>
        <w:numPr>
          <w:ilvl w:val="0"/>
          <w:numId w:val="1003"/>
        </w:numPr>
        <w:pStyle w:val="Compact"/>
      </w:pPr>
      <w:r>
        <w:t xml:space="preserve">Revise contratos com grandes clientes e inclua cláusulas de</w:t>
      </w:r>
      <w:r>
        <w:t xml:space="preserve"> </w:t>
      </w:r>
      <w:r>
        <w:rPr>
          <w:bCs/>
          <w:b/>
        </w:rPr>
        <w:t xml:space="preserve">concentração de risco</w:t>
      </w:r>
      <w:r>
        <w:t xml:space="preserve">, garantias e gatilhos de revisão de crédito.</w:t>
      </w:r>
    </w:p>
    <w:p>
      <w:pPr>
        <w:numPr>
          <w:ilvl w:val="0"/>
          <w:numId w:val="1003"/>
        </w:numPr>
        <w:pStyle w:val="Compact"/>
      </w:pPr>
      <w:r>
        <w:t xml:space="preserve">Monitore sinais de alerta: alongamento de prazos, renegociações constantes e notícias de mercado.</w:t>
      </w:r>
    </w:p>
    <w:p>
      <w:pPr>
        <w:numPr>
          <w:ilvl w:val="0"/>
          <w:numId w:val="1003"/>
        </w:numPr>
        <w:pStyle w:val="Compact"/>
      </w:pPr>
      <w:r>
        <w:t xml:space="preserve">Mantenha reservas ou seguro de crédito para clientes críticos.</w:t>
      </w:r>
    </w:p>
    <w:p>
      <w:pPr>
        <w:pStyle w:val="FirstParagraph"/>
      </w:pPr>
      <w:r>
        <w:rPr>
          <w:bCs/>
          <w:b/>
        </w:rPr>
        <w:t xml:space="preserve">Se você é gestor de empresa em dificuldade:</w:t>
      </w:r>
    </w:p>
    <w:p>
      <w:pPr>
        <w:numPr>
          <w:ilvl w:val="0"/>
          <w:numId w:val="1004"/>
        </w:numPr>
        <w:pStyle w:val="Compact"/>
      </w:pPr>
      <w:r>
        <w:t xml:space="preserve">Procure assessoria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colapso de caixa. O DIP existe, mas o juiz e o financiador exigem plano crível.</w:t>
      </w:r>
    </w:p>
    <w:p>
      <w:pPr>
        <w:numPr>
          <w:ilvl w:val="0"/>
          <w:numId w:val="1004"/>
        </w:numPr>
        <w:pStyle w:val="Compact"/>
      </w:pPr>
      <w:r>
        <w:t xml:space="preserve">Mapeie bens que possam servir de garantia e avalie o efeito sobre credores existentes.</w:t>
      </w:r>
    </w:p>
    <w:p>
      <w:pPr>
        <w:numPr>
          <w:ilvl w:val="0"/>
          <w:numId w:val="1004"/>
        </w:numPr>
        <w:pStyle w:val="Compact"/>
      </w:pPr>
      <w:r>
        <w:t xml:space="preserve">Negocie com fornecedores estratégicos antes do pedido, para evitar ruptura de abastecimento.</w:t>
      </w:r>
    </w:p>
    <w:bookmarkEnd w:id="24"/>
    <w:bookmarkStart w:id="25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O caso Casas Bahia é um exemplo grande de um instrumento que serve a empresas de qualquer porte: o crédito novo em recuperação. Para quem vende, compra ou financia, a mensagem é a mesma: acompanhe os autos, proteja o crédito com contratos bem escritos e trate a recuperação judicial de um parceiro como um evento de gestão de risco, e não apenas jurídico.</w:t>
      </w:r>
    </w:p>
    <w:p>
      <w:pPr>
        <w:pStyle w:val="BodyText"/>
      </w:pPr>
      <w:r>
        <w:rPr>
          <w:iCs/>
          <w:i/>
        </w:rPr>
        <w:t xml:space="preserve">Texto informativo, sem caráter de consultoria individual. Os valores citados vêm de reportagens e não de documentos oficiais do processo. As leituras de mercado são análises do autor.</w:t>
      </w:r>
    </w:p>
    <w:p>
      <w:pPr>
        <w:pStyle w:val="BodyText"/>
      </w:pPr>
      <w:r>
        <w:rPr>
          <w:bCs/>
          <w:b/>
        </w:rPr>
        <w:t xml:space="preserve">Fontes:</w:t>
      </w:r>
      <w:r>
        <w:t xml:space="preserve"> </w:t>
      </w:r>
      <w:r>
        <w:t xml:space="preserve">Exame (capa de 23/10/2026); Conjur, Migalhas, Brazil Journal, NeoFeed e SpaceMoney (agosto e setembro de 2026); Lei nº 11.101/2005, arts. 69-A a 69-F.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Financiamento DIP em recuperação judicial: o que o caso Casas Bahia ensina a credores, fornecedores e empresas em crise</dc:title>
  <dc:creator/>
  <cp:keywords/>
  <dcterms:created xsi:type="dcterms:W3CDTF">2026-10-23T18:09:25Z</dcterms:created>
  <dcterms:modified xsi:type="dcterms:W3CDTF">2026-10-23T18:09:25Z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