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Texto para LinkedIn</w:t>
      </w:r>
    </w:p>
    <w:p>
      <w:pPr>
        <w:pStyle w:val="BodyText"/>
      </w:pPr>
      <w:r>
        <w:t xml:space="preserve">🌍 Acordo Mercosul–EFTA: as cotas já têm regra, e a ordem do pedido importa.</w:t>
      </w:r>
    </w:p>
    <w:p>
      <w:pPr>
        <w:pStyle w:val="BodyText"/>
      </w:pPr>
      <w:r>
        <w:t xml:space="preserve">• Importação de vinhos, queijos, fórmulas infantis e chocolates: Portaria Secex nº 544/2026.</w:t>
      </w:r>
      <w:r>
        <w:t xml:space="preserve"> </w:t>
      </w:r>
      <w:r>
        <w:t xml:space="preserve">• Exportação para a Noruega (carne bovina, frango, mel, milho, suco de maçã e outros): procedimentos valem a partir de 1º/11.</w:t>
      </w:r>
    </w:p>
    <w:p>
      <w:pPr>
        <w:pStyle w:val="BodyText"/>
      </w:pPr>
      <w:r>
        <w:t xml:space="preserve">Em 2026 não há divisão prévia das cotas. Quem pede primeiro, com saldo disponível, leva. A licença deve ser vinculada à declaração de exportação ou importação em até 60 dias, senão o saldo volta para outras empresas.</w:t>
      </w:r>
    </w:p>
    <w:p>
      <w:pPr>
        <w:pStyle w:val="BodyText"/>
      </w:pPr>
      <w:r>
        <w:t xml:space="preserve">Antes de operar: revise contratos internacionais, Incoterms, documentação de origem e cláusulas de risco se a cota esgotar.</w:t>
      </w:r>
    </w:p>
    <w:p>
      <w:pPr>
        <w:pStyle w:val="BodyText"/>
      </w:pPr>
      <w:r>
        <w:t xml:space="preserve">Leia…: Manassés Lopes Advogados: https://www.manasseslopes.com</w:t>
      </w:r>
      <w:r>
        <w:t xml:space="preserve"> </w:t>
      </w:r>
      <w:r>
        <w:t xml:space="preserve">O Tributarista Minucioso: https://otributaristaminucioso.blogspot.com</w:t>
      </w:r>
    </w:p>
    <w:p>
      <w:pPr>
        <w:pStyle w:val="BodyText"/>
      </w:pPr>
      <w:r>
        <w:t xml:space="preserve">#ComércioExterior #MercosulEFTA #Exportação #Importação #DireitoEmpresarial #Agro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2026-10-23T17:59:25Z</dcterms:created>
  <dcterms:modified xsi:type="dcterms:W3CDTF">2026-10-23T17:59:25Z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