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shd w:val="clear" w:color="auto" w:fill="FFFFFF"/>
        <w:spacing w:line="216" w:lineRule="exact"/>
        <w:ind w:left="5" w:right="1704"/>
        <w:rPr>
          <w:rFonts w:asciiTheme="minorAscii"/>
          <w:b/>
          <w:bCs/>
          <w:iCs/>
          <w:color w:val="000000"/>
          <w:w w:val="92"/>
          <w:sz w:val="19"/>
          <w:szCs w:val="19"/>
          <w:shd w:val="clear" w:color="auto" w:fill="FFFFFF"/>
        </w:rPr>
      </w:pPr>
      <w:r>
        <w:rPr>
          <w:rFonts w:asciiTheme="minorAscii"/>
          <w:b/>
          <w:bCs/>
          <w:color w:val="000000"/>
          <w:sz w:val="19"/>
          <w:szCs w:val="19"/>
          <w:shd w:val="clear" w:color="auto" w:fill="FFFFFF"/>
        </w:rPr>
        <w:t xml:space="preserve">Quadro 13.2 </w:t>
      </w:r>
      <w:r>
        <w:rPr>
          <w:rFonts w:asciiTheme="minorAscii"/>
          <w:b/>
          <w:bCs/>
          <w:iCs/>
          <w:color w:val="000000"/>
          <w:w w:val="92"/>
          <w:sz w:val="19"/>
          <w:szCs w:val="19"/>
          <w:shd w:val="clear" w:color="auto" w:fill="FFFFFF"/>
        </w:rPr>
        <w:t xml:space="preserve">Produto </w:t>
      </w:r>
      <w:r>
        <w:rPr>
          <w:rFonts w:asciiTheme="minorAscii"/>
          <w:b/>
          <w:bCs/>
          <w:color w:val="000000"/>
          <w:sz w:val="19"/>
          <w:szCs w:val="19"/>
          <w:shd w:val="clear" w:color="auto" w:fill="FFFFFF"/>
        </w:rPr>
        <w:t xml:space="preserve">1: </w:t>
      </w:r>
      <w:r>
        <w:rPr>
          <w:rFonts w:asciiTheme="minorAscii"/>
          <w:b/>
          <w:bCs/>
          <w:iCs/>
          <w:color w:val="000000"/>
          <w:w w:val="92"/>
          <w:sz w:val="19"/>
          <w:szCs w:val="19"/>
          <w:shd w:val="clear" w:color="auto" w:fill="FFFFFF"/>
        </w:rPr>
        <w:t xml:space="preserve">formulário de </w:t>
      </w:r>
      <w:r>
        <w:rPr>
          <w:rFonts w:asciiTheme="minorAscii"/>
          <w:b/>
          <w:iCs/>
          <w:color w:val="000000"/>
          <w:sz w:val="19"/>
          <w:szCs w:val="19"/>
          <w:shd w:val="clear" w:color="auto" w:fill="FFFFFF"/>
        </w:rPr>
        <w:t xml:space="preserve">descrição </w:t>
      </w:r>
      <w:r>
        <w:rPr>
          <w:rFonts w:asciiTheme="minorAscii"/>
          <w:b/>
          <w:bCs/>
          <w:iCs/>
          <w:color w:val="000000"/>
          <w:w w:val="92"/>
          <w:sz w:val="19"/>
          <w:szCs w:val="19"/>
          <w:shd w:val="clear" w:color="auto" w:fill="FFFFFF"/>
        </w:rPr>
        <w:t xml:space="preserve">do processo </w:t>
      </w:r>
      <w:r>
        <w:rPr>
          <w:rFonts w:asciiTheme="minorAscii"/>
          <w:b/>
          <w:color w:val="000000"/>
          <w:w w:val="77"/>
          <w:sz w:val="20"/>
          <w:szCs w:val="20"/>
          <w:shd w:val="clear" w:color="auto" w:fill="FFFFFF"/>
        </w:rPr>
        <w:t xml:space="preserve">1.O - </w:t>
      </w:r>
      <w:r>
        <w:rPr>
          <w:rFonts w:asciiTheme="minorAscii"/>
          <w:b/>
          <w:bCs/>
          <w:iCs/>
          <w:color w:val="000000"/>
          <w:w w:val="92"/>
          <w:sz w:val="19"/>
          <w:szCs w:val="19"/>
          <w:shd w:val="clear" w:color="auto" w:fill="FFFFFF"/>
        </w:rPr>
        <w:t xml:space="preserve">Avaliar desempenho de equipamento. </w:t>
      </w:r>
    </w:p>
    <w:p>
      <w:pPr>
        <w:pStyle w:val="4"/>
        <w:spacing w:before="249" w:line="1" w:lineRule="exact"/>
        <w:rPr>
          <w:rFonts w:asciiTheme="minorAscii"/>
          <w:sz w:val="19"/>
          <w:szCs w:val="19"/>
        </w:rPr>
      </w:pPr>
    </w:p>
    <w:tbl>
      <w:tblPr>
        <w:tblStyle w:val="3"/>
        <w:tblW w:w="11256" w:type="dxa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8"/>
        <w:gridCol w:w="14"/>
        <w:gridCol w:w="2798"/>
        <w:gridCol w:w="15"/>
        <w:gridCol w:w="2798"/>
        <w:gridCol w:w="10"/>
        <w:gridCol w:w="2803"/>
        <w:gridCol w:w="10"/>
      </w:tblGrid>
      <w:tr>
        <w:trPr>
          <w:trHeight w:val="288" w:hRule="exact"/>
        </w:trPr>
        <w:tc>
          <w:tcPr>
            <w:tcW w:w="1125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5"/>
              <w:rPr>
                <w:rFonts w:hAnsi="Times New Roman" w:cs="Times New Roman" w:asciiTheme="minorAscii"/>
                <w:b/>
                <w:bCs/>
                <w:color w:val="000000"/>
                <w:w w:val="91"/>
                <w:sz w:val="16"/>
                <w:szCs w:val="16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b/>
                <w:bCs/>
                <w:color w:val="000000"/>
                <w:w w:val="91"/>
                <w:sz w:val="16"/>
                <w:szCs w:val="16"/>
                <w:shd w:val="clear" w:color="auto" w:fill="FFFFFF"/>
              </w:rPr>
              <w:t xml:space="preserve">FORMULÁRIO DE DESCRIÇÃO DO PROCESSO AVALIAR DESEMPENHO DE EQUIPAMENTO - ÁREA DE LABORATÓRIOS - REV. 13-06-07 </w:t>
            </w:r>
          </w:p>
        </w:tc>
      </w:tr>
      <w:tr>
        <w:trPr>
          <w:trHeight w:val="445" w:hRule="atLeast"/>
        </w:trPr>
        <w:tc>
          <w:tcPr>
            <w:tcW w:w="28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Nome do processo: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1. Avaliar o desempenho de equipamentos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1. Avaliar o desempenho dos equipamentos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1. Avaliar o desempenho de equipamentos </w:t>
            </w:r>
          </w:p>
        </w:tc>
      </w:tr>
      <w:tr>
        <w:trPr>
          <w:trHeight w:val="441" w:hRule="atLeast"/>
        </w:trPr>
        <w:tc>
          <w:tcPr>
            <w:tcW w:w="28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Nomes dos subprocessos: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1.1 Atender pedidos de avaliação de equipamentos/amostras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1.2 Executar serviços de avaliação de equipamentos/amostras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1.3 Emitir documentos da avaliação e do faturamento dos serviços </w:t>
            </w:r>
          </w:p>
        </w:tc>
      </w:tr>
      <w:tr>
        <w:trPr>
          <w:trHeight w:val="268" w:hRule="exact"/>
        </w:trPr>
        <w:tc>
          <w:tcPr>
            <w:tcW w:w="28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Responsável: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Área de laboratórios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Área de laboratórios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Área de laboratórios </w:t>
            </w:r>
          </w:p>
        </w:tc>
      </w:tr>
      <w:tr>
        <w:trPr>
          <w:trHeight w:val="445" w:hRule="atLeast"/>
        </w:trPr>
        <w:tc>
          <w:tcPr>
            <w:tcW w:w="28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Entrevistados: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Em Adrianópolis: A, B, C, D; no Fundão: E, F, G, H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Em Adrianópolis: A, B, C, D; no Fundão: E, F, G, H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Em Adrianópolis: A, B, C, D; no Fundão: E, F, G, H </w:t>
            </w:r>
          </w:p>
        </w:tc>
      </w:tr>
      <w:tr>
        <w:trPr>
          <w:trHeight w:val="976" w:hRule="atLeast"/>
        </w:trPr>
        <w:tc>
          <w:tcPr>
            <w:tcW w:w="28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Escopo: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Abrange as atividades de recebimento de pedido de avaliação, análise, elaboração da proposta, encaminhamento ao cliente, solicitação de pagamento e confirmação de agendamento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Abrange as atividades de recebimento e análise da Pasta de Processos, execução do serviço e devolução do equipamento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Abrange as atividades de emissão de documento de avaliação, avaliação, envio de documento ao cliente e emissão de solicitação para faturamento </w:t>
            </w:r>
          </w:p>
        </w:tc>
      </w:tr>
      <w:tr>
        <w:trPr>
          <w:trHeight w:val="805" w:hRule="atLeast"/>
        </w:trPr>
        <w:tc>
          <w:tcPr>
            <w:tcW w:w="28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Objetivo: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Receber um pedido de cliente interno ou externo, elaborar uma proposta adequada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Realizar a avaliação sobre o equipamento/amostra que permita verificar seu desempenho, conforme a proposta aceita pelo cliente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Emitir documentos de resultado da avaliação para o cliente e solicitar faturamento </w:t>
            </w:r>
          </w:p>
        </w:tc>
      </w:tr>
      <w:tr>
        <w:trPr>
          <w:trHeight w:val="627" w:hRule="atLeast"/>
        </w:trPr>
        <w:tc>
          <w:tcPr>
            <w:tcW w:w="28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Condição de início do processo: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Receber um pedido de cliente interno ou externo para realizar a avaliação de um equipamento ou amostra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Receber o equipamento/amostra do cliente e ter confirmado o agendamento do ensaio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Avaliação concluída </w:t>
            </w:r>
          </w:p>
        </w:tc>
      </w:tr>
      <w:tr>
        <w:trPr>
          <w:trHeight w:val="622" w:hRule="atLeast"/>
        </w:trPr>
        <w:tc>
          <w:tcPr>
            <w:tcW w:w="282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>FORNECEDORES →</w:t>
            </w:r>
            <w:r>
              <w:rPr>
                <w:rFonts w:hAnsi="Times New Roman" w:cs="Times New Roman" w:asciiTheme="minorAscii"/>
                <w:color w:val="000000"/>
                <w:w w:val="106"/>
                <w:sz w:val="12"/>
                <w:szCs w:val="12"/>
                <w:shd w:val="clear" w:color="auto" w:fill="FFFFFF"/>
              </w:rPr>
              <w:t xml:space="preserve"> </w:t>
            </w: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ENTRADAS do processo </w:t>
            </w:r>
          </w:p>
        </w:tc>
        <w:tc>
          <w:tcPr>
            <w:tcW w:w="281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Cliente interno ou externo requisitante do </w:t>
            </w:r>
          </w:p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serviço </w:t>
            </w:r>
            <w:r>
              <w:rPr>
                <w:rFonts w:hAnsi="Times New Roman" w:cs="Times New Roman" w:asciiTheme="minorAscii"/>
                <w:color w:val="000000"/>
                <w:w w:val="106"/>
                <w:sz w:val="12"/>
                <w:szCs w:val="12"/>
                <w:shd w:val="clear" w:color="auto" w:fill="FFFFFF"/>
              </w:rPr>
              <w:t xml:space="preserve">→ </w:t>
            </w: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pedido de avaliação (interno ou externo); Equipamento/amostra a ser avaliada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Cliente </w:t>
            </w:r>
            <w:r>
              <w:rPr>
                <w:rFonts w:hAnsi="Times New Roman" w:cs="Times New Roman" w:asciiTheme="minorAscii"/>
                <w:color w:val="000000"/>
                <w:w w:val="106"/>
                <w:sz w:val="12"/>
                <w:szCs w:val="12"/>
                <w:shd w:val="clear" w:color="auto" w:fill="FFFFFF"/>
              </w:rPr>
              <w:t xml:space="preserve">→ </w:t>
            </w: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equipamento/amostra a ser testada, com NF (nem sempre está com NF)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Resp. por laboratório/ensaio </w:t>
            </w:r>
            <w:r>
              <w:rPr>
                <w:rFonts w:hAnsi="Times New Roman" w:cs="Times New Roman" w:asciiTheme="minorAscii"/>
                <w:color w:val="000000"/>
                <w:w w:val="106"/>
                <w:sz w:val="12"/>
                <w:szCs w:val="12"/>
                <w:shd w:val="clear" w:color="auto" w:fill="FFFFFF"/>
              </w:rPr>
              <w:t xml:space="preserve">→ </w:t>
            </w: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proposta aceita pelas partes, estipulando o prazo de emissão do relatório </w:t>
            </w:r>
          </w:p>
        </w:tc>
      </w:tr>
      <w:tr>
        <w:trPr>
          <w:trHeight w:val="441" w:hRule="atLeast"/>
        </w:trPr>
        <w:tc>
          <w:tcPr>
            <w:tcW w:w="2822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hAnsi="Times New Roman" w:cs="Times New Roman" w:asciiTheme="minorAscii"/>
                <w:sz w:val="19"/>
                <w:szCs w:val="19"/>
              </w:rPr>
            </w:pPr>
          </w:p>
        </w:tc>
        <w:tc>
          <w:tcPr>
            <w:tcW w:w="2813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Laboratório </w:t>
            </w:r>
            <w:r>
              <w:rPr>
                <w:rFonts w:hAnsi="Times New Roman" w:cs="Times New Roman" w:asciiTheme="minorAscii"/>
                <w:color w:val="000000"/>
                <w:w w:val="106"/>
                <w:sz w:val="12"/>
                <w:szCs w:val="12"/>
                <w:shd w:val="clear" w:color="auto" w:fill="FFFFFF"/>
              </w:rPr>
              <w:t xml:space="preserve">→ </w:t>
            </w: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pasta do processo consolidada (para alguns laboratórios)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Resp. por laboratório/ensaio ou técnico de laboratório </w:t>
            </w:r>
            <w:r>
              <w:rPr>
                <w:rFonts w:hAnsi="Times New Roman" w:cs="Times New Roman" w:asciiTheme="minorAscii"/>
                <w:color w:val="000000"/>
                <w:w w:val="106"/>
                <w:sz w:val="12"/>
                <w:szCs w:val="12"/>
                <w:shd w:val="clear" w:color="auto" w:fill="FFFFFF"/>
              </w:rPr>
              <w:t xml:space="preserve">→ </w:t>
            </w:r>
            <w:r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  <w:t xml:space="preserve">registro de resultados </w:t>
            </w:r>
          </w:p>
        </w:tc>
      </w:tr>
      <w:tr>
        <w:trPr>
          <w:trHeight w:val="192" w:hRule="exact"/>
        </w:trPr>
        <w:tc>
          <w:tcPr>
            <w:tcW w:w="2822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hAnsi="Times New Roman" w:cs="Times New Roman" w:asciiTheme="minorAscii"/>
                <w:sz w:val="19"/>
                <w:szCs w:val="19"/>
              </w:rPr>
            </w:pPr>
          </w:p>
        </w:tc>
        <w:tc>
          <w:tcPr>
            <w:tcW w:w="281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hAnsi="Times New Roman" w:cs="Times New Roman" w:asciiTheme="minorAscii"/>
                <w:sz w:val="19"/>
                <w:szCs w:val="19"/>
              </w:rPr>
            </w:pPr>
          </w:p>
        </w:tc>
        <w:tc>
          <w:tcPr>
            <w:tcW w:w="2808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hAnsi="Times New Roman" w:cs="Times New Roman"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gridAfter w:val="1"/>
          <w:wAfter w:w="10" w:type="dxa"/>
          <w:trHeight w:val="981" w:hRule="atLeast"/>
        </w:trPr>
        <w:tc>
          <w:tcPr>
            <w:tcW w:w="280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SAÍDAS FORNECIDAS </w:t>
            </w:r>
            <w:r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CLIENTES </w:t>
            </w: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Proposta enviada </w:t>
            </w:r>
            <w:r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cliente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Equipamento e/ou amostra avaliada que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não será devolvido </w:t>
            </w:r>
            <w:r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laboratório, oficina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mecânica etc.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Documentos da avaliação: Relatório de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Ensaio (padrão SGQ) ou Relatório Técnico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ou Relatório simplificado ou </w:t>
            </w:r>
            <w:r>
              <w:rPr>
                <w:rFonts w:hAnsi="Times New Roman" w:cs="Times New Roman" w:asciiTheme="minorAscii"/>
                <w:i/>
                <w:iCs/>
                <w:color w:val="000000"/>
                <w:sz w:val="14"/>
                <w:szCs w:val="14"/>
                <w:shd w:val="clear" w:color="auto" w:fill="FFFFFF"/>
              </w:rPr>
              <w:t xml:space="preserve">e-mail </w:t>
            </w: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com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resultado preliminar ou planilhas-»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cliente </w:t>
            </w:r>
          </w:p>
        </w:tc>
      </w:tr>
      <w:tr>
        <w:trPr>
          <w:gridAfter w:val="1"/>
          <w:wAfter w:w="10" w:type="dxa"/>
          <w:trHeight w:val="981" w:hRule="atLeast"/>
        </w:trPr>
        <w:tc>
          <w:tcPr>
            <w:tcW w:w="28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sz w:val="19"/>
                <w:szCs w:val="19"/>
              </w:rPr>
            </w:pP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Proposta aceita pelo cliente (por fax,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se for um cliente externo - com nome,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cargo, logotipo da empresa e assinatura)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ou por </w:t>
            </w:r>
            <w:r>
              <w:rPr>
                <w:rFonts w:hAnsi="Times New Roman" w:cs="Times New Roman" w:asciiTheme="minorAscii"/>
                <w:i/>
                <w:iCs/>
                <w:color w:val="000000"/>
                <w:sz w:val="14"/>
                <w:szCs w:val="14"/>
                <w:shd w:val="clear" w:color="auto" w:fill="FFFFFF"/>
              </w:rPr>
              <w:t xml:space="preserve">e-mail </w:t>
            </w: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(se for cliente interno ou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sócio) </w:t>
            </w:r>
            <w:r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resp. por laboratório/ensaio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Saídas indesejáveis ao Meio Ambiente: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resíduos sólidos ou líquidos </w:t>
            </w:r>
            <w:r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meio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ambiente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Questionário de avaliação da satisfação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do cliente </w:t>
            </w:r>
          </w:p>
        </w:tc>
      </w:tr>
      <w:tr>
        <w:trPr>
          <w:gridAfter w:val="1"/>
          <w:wAfter w:w="10" w:type="dxa"/>
          <w:trHeight w:val="622" w:hRule="atLeast"/>
        </w:trPr>
        <w:tc>
          <w:tcPr>
            <w:tcW w:w="2808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sz w:val="19"/>
                <w:szCs w:val="19"/>
              </w:rPr>
            </w:pP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Solicitação do adiantamento do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pagamento </w:t>
            </w:r>
            <w:r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cliente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Equipamento ou amostra avaliada </w:t>
            </w:r>
            <w:r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cliente interno ou externo solicitante da </w:t>
            </w:r>
          </w:p>
          <w:p>
            <w:pPr>
              <w:pStyle w:val="4"/>
              <w:ind w:left="86"/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avaliação </w:t>
            </w:r>
          </w:p>
        </w:tc>
        <w:tc>
          <w:tcPr>
            <w:tcW w:w="281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Solicitação para faturamento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(impressa ou SILAB) complementando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o adiantamento já pago </w:t>
            </w:r>
            <w:r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divisão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financeira </w:t>
            </w:r>
          </w:p>
        </w:tc>
      </w:tr>
      <w:tr>
        <w:trPr>
          <w:gridAfter w:val="1"/>
          <w:wAfter w:w="10" w:type="dxa"/>
          <w:trHeight w:val="622" w:hRule="atLeast"/>
        </w:trPr>
        <w:tc>
          <w:tcPr>
            <w:tcW w:w="28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sz w:val="19"/>
                <w:szCs w:val="19"/>
              </w:rPr>
            </w:pP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Pagamento do adiantamento, integral ou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parcial </w:t>
            </w:r>
            <w:r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Divisão financeira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Requisição de nota fiscal com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equipamento a ser mandado de volta ao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cliente </w:t>
            </w:r>
            <w:r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área administrativa e cliente </w:t>
            </w:r>
          </w:p>
        </w:tc>
        <w:tc>
          <w:tcPr>
            <w:tcW w:w="2813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gridAfter w:val="1"/>
          <w:wAfter w:w="10" w:type="dxa"/>
          <w:trHeight w:val="618" w:hRule="atLeast"/>
        </w:trPr>
        <w:tc>
          <w:tcPr>
            <w:tcW w:w="28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sz w:val="19"/>
                <w:szCs w:val="19"/>
              </w:rPr>
            </w:pP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Pasta do processo </w:t>
            </w:r>
            <w:r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laboratório/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secretaria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Registro de resultados </w:t>
            </w:r>
            <w:r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resp. por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laboratório/ensaio ou técnico de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laboratório </w:t>
            </w:r>
          </w:p>
        </w:tc>
        <w:tc>
          <w:tcPr>
            <w:tcW w:w="2813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gridAfter w:val="1"/>
          <w:wAfter w:w="10" w:type="dxa"/>
          <w:trHeight w:val="981" w:hRule="atLeast"/>
        </w:trPr>
        <w:tc>
          <w:tcPr>
            <w:tcW w:w="28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sz w:val="19"/>
                <w:szCs w:val="19"/>
              </w:rPr>
            </w:pP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Agendamento marcado </w:t>
            </w:r>
            <w:r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laboratório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(no SILAB)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Equipamento testado que fica/sobra no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CEPEL (quando o cliente não quer mais o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equipamento, ou por ter sido destruído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pelo ensaio, ou por razão de custo de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frete) </w:t>
            </w:r>
            <w:r>
              <w:rPr>
                <w:rFonts w:hAnsi="Times New Roman" w:cs="Times New Roman" w:asciiTheme="minorAscii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(sem destino hoje) </w:t>
            </w:r>
          </w:p>
        </w:tc>
        <w:tc>
          <w:tcPr>
            <w:tcW w:w="2813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gridAfter w:val="1"/>
          <w:wAfter w:w="10" w:type="dxa"/>
          <w:trHeight w:val="249" w:hRule="exac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Expectativa do cliente: </w:t>
            </w:r>
          </w:p>
        </w:tc>
        <w:tc>
          <w:tcPr>
            <w:tcW w:w="281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Receber uma proposta adequada em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tempo hábil (cliente) </w:t>
            </w:r>
          </w:p>
        </w:tc>
        <w:tc>
          <w:tcPr>
            <w:tcW w:w="281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Ter o equipamento/amostra avaliado no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prazo (cliente) </w:t>
            </w:r>
          </w:p>
        </w:tc>
        <w:tc>
          <w:tcPr>
            <w:tcW w:w="281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Obter o relatório o mais rápido possível </w:t>
            </w:r>
          </w:p>
        </w:tc>
      </w:tr>
      <w:tr>
        <w:trPr>
          <w:gridAfter w:val="1"/>
          <w:wAfter w:w="10" w:type="dxa"/>
          <w:trHeight w:val="192" w:hRule="exact"/>
        </w:trPr>
        <w:tc>
          <w:tcPr>
            <w:tcW w:w="28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sz w:val="19"/>
                <w:szCs w:val="19"/>
              </w:rPr>
            </w:pPr>
          </w:p>
        </w:tc>
        <w:tc>
          <w:tcPr>
            <w:tcW w:w="2812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gridAfter w:val="1"/>
          <w:wAfter w:w="10" w:type="dxa"/>
          <w:trHeight w:val="268" w:hRule="exac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Fatores críticos de sucesso: </w:t>
            </w: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gridAfter w:val="1"/>
          <w:wAfter w:w="10" w:type="dxa"/>
          <w:trHeight w:val="1158" w:hRule="atLeas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Mão de obra: </w:t>
            </w: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Pessoal capacitado ao uso do SILAB e nos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procedimentos do SGQ localizados no </w:t>
            </w:r>
          </w:p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ISOSYSTEM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A MO deve ser qualificada e disciplinada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o suficiente para realizar adequadamente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o serviço. Por ex., hoje, a área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administrativa não cumpre com a emissão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da ficha de entrada de equipamento, tal </w:t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como definido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gridAfter w:val="1"/>
          <w:wAfter w:w="10" w:type="dxa"/>
          <w:trHeight w:val="196" w:hRule="exact"/>
        </w:trPr>
        <w:tc>
          <w:tcPr>
            <w:tcW w:w="280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sz w:val="19"/>
                <w:szCs w:val="19"/>
              </w:rPr>
            </w:pPr>
          </w:p>
        </w:tc>
        <w:tc>
          <w:tcPr>
            <w:tcW w:w="2812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sz w:val="19"/>
                <w:szCs w:val="19"/>
              </w:rPr>
            </w:pPr>
          </w:p>
        </w:tc>
        <w:tc>
          <w:tcPr>
            <w:tcW w:w="281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</w:tbl>
    <w:p>
      <w:pPr>
        <w:pStyle w:val="4"/>
        <w:rPr>
          <w:rFonts w:asciiTheme="minorAscii"/>
          <w:sz w:val="19"/>
          <w:szCs w:val="19"/>
        </w:rPr>
        <w:sectPr>
          <w:pgSz w:w="16840" w:h="11907" w:orient="landscape"/>
          <w:pgMar w:top="360" w:right="5233" w:bottom="360" w:left="360" w:header="720" w:footer="720" w:gutter="0"/>
          <w:cols w:space="720" w:num="1"/>
        </w:sectPr>
      </w:pPr>
    </w:p>
    <w:p>
      <w:pPr>
        <w:pStyle w:val="4"/>
        <w:rPr>
          <w:rFonts w:asciiTheme="minorAscii"/>
          <w:sz w:val="19"/>
          <w:szCs w:val="19"/>
        </w:rPr>
      </w:pPr>
    </w:p>
    <w:tbl>
      <w:tblPr>
        <w:tblStyle w:val="3"/>
        <w:tblW w:w="11246" w:type="dxa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8"/>
        <w:gridCol w:w="2812"/>
        <w:gridCol w:w="2813"/>
        <w:gridCol w:w="2813"/>
      </w:tblGrid>
      <w:tr>
        <w:trPr>
          <w:trHeight w:val="981" w:hRule="atLeas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>Infraestrutura:</w:t>
            </w:r>
          </w:p>
        </w:tc>
        <w:tc>
          <w:tcPr>
            <w:tcW w:w="28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>O SILAB, ICOSYSTEM e os meios de comunicação (tel., fax, e e-mail) devem ser disponibilizados em boas condições de uso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  <w:p>
            <w:pPr>
              <w:pStyle w:val="4"/>
              <w:ind w:left="91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A infraestrutura do próprio laboratório deve estar em bom estado para realizar devidamente os serviços (papel da manutenção) – Necessidade de um local para armazenar os equipamentos a serem avaliados e já avaliados para serem enviados de volta. Analisar riscos, condições de segurança e impacto ao meio ambiente 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  <w:tr>
        <w:trPr>
          <w:trHeight w:val="249" w:hRule="exac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>Prazo:</w:t>
            </w:r>
          </w:p>
        </w:tc>
        <w:tc>
          <w:tcPr>
            <w:tcW w:w="281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>A proposta deve ser elaborada o mais breve possível e com planejamento eficaz e o relatório deve ser emitido no prazo estabelecido</w:t>
            </w:r>
          </w:p>
        </w:tc>
        <w:tc>
          <w:tcPr>
            <w:tcW w:w="281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Ansi="Arial" w:cs="Arial"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hAnsi="Arial" w:cs="Arial" w:asciiTheme="minorAscii"/>
                <w:color w:val="000000"/>
                <w:sz w:val="13"/>
                <w:szCs w:val="13"/>
                <w:shd w:val="clear" w:color="auto" w:fill="FFFFFF"/>
              </w:rPr>
              <w:t xml:space="preserve">A reserva/demora do cliente em entregar o equipamento a ser avaliado atrasa o processo (mas isso não prejudica o desempenho da área de laboratórios, já que a área de laboratórios não é responsável pelo atraso) </w:t>
            </w:r>
            <w:r>
              <w:rPr>
                <w:rFonts w:hAnsi="Arial" w:cs="Arial" w:asciiTheme="minorAscii"/>
                <w:color w:val="000000"/>
                <w:sz w:val="13"/>
                <w:szCs w:val="13"/>
                <w:shd w:val="clear" w:color="auto" w:fill="FFFFFF"/>
              </w:rPr>
              <w:tab/>
            </w:r>
          </w:p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>O relatório deve ser emitido dentro do prazo estabelecido na proposta</w:t>
            </w:r>
          </w:p>
        </w:tc>
      </w:tr>
      <w:tr>
        <w:trPr>
          <w:trHeight w:val="960" w:hRule="exact"/>
        </w:trPr>
        <w:tc>
          <w:tcPr>
            <w:tcW w:w="28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sz w:val="19"/>
                <w:szCs w:val="19"/>
              </w:rPr>
            </w:pPr>
          </w:p>
        </w:tc>
        <w:tc>
          <w:tcPr>
            <w:tcW w:w="281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trHeight w:val="268" w:hRule="exac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  <w:t>Subprocessos/Atividades do processo:</w:t>
            </w:r>
          </w:p>
        </w:tc>
        <w:tc>
          <w:tcPr>
            <w:tcW w:w="28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trHeight w:val="1158" w:hRule="atLeas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trHeight w:val="196" w:hRule="exact"/>
        </w:trPr>
        <w:tc>
          <w:tcPr>
            <w:tcW w:w="280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sz w:val="19"/>
                <w:szCs w:val="19"/>
              </w:rPr>
            </w:pPr>
          </w:p>
        </w:tc>
        <w:tc>
          <w:tcPr>
            <w:tcW w:w="281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sz w:val="19"/>
                <w:szCs w:val="19"/>
              </w:rPr>
            </w:pPr>
          </w:p>
        </w:tc>
        <w:tc>
          <w:tcPr>
            <w:tcW w:w="281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Ascii"/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</w:tbl>
    <w:p>
      <w:pPr>
        <w:pStyle w:val="4"/>
        <w:rPr>
          <w:rFonts w:asciiTheme="minorAscii"/>
          <w:sz w:val="19"/>
          <w:szCs w:val="19"/>
        </w:rPr>
      </w:pPr>
    </w:p>
    <w:p>
      <w:pPr>
        <w:pStyle w:val="4"/>
        <w:rPr>
          <w:rFonts w:asciiTheme="minorAscii"/>
          <w:sz w:val="19"/>
          <w:szCs w:val="19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19"/>
          <w:szCs w:val="19"/>
        </w:rPr>
      </w:pPr>
      <w:r>
        <w:rPr>
          <w:rFonts w:asciiTheme="minorAscii"/>
          <w:sz w:val="19"/>
          <w:szCs w:val="19"/>
        </w:rPr>
        <w:t>Exercício 1: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asciiTheme="minorAscii"/>
          <w:sz w:val="19"/>
          <w:szCs w:val="19"/>
        </w:rPr>
      </w:pPr>
      <w:r>
        <w:rPr>
          <w:rFonts w:asciiTheme="minorAscii"/>
          <w:sz w:val="19"/>
          <w:szCs w:val="19"/>
        </w:rPr>
        <w:t>Processos: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asciiTheme="minorAscii"/>
        </w:rPr>
      </w:pPr>
      <w:r>
        <w:rPr>
          <w:rFonts w:asciiTheme="minorAscii"/>
          <w:sz w:val="19"/>
          <w:szCs w:val="19"/>
        </w:rPr>
        <w:t xml:space="preserve">Cadastro de Cliente - 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nome, endereço, profissão, RG, data de nascimento, telefone residencial e telefone celular.</w:t>
      </w:r>
    </w:p>
    <w:p>
      <w:pPr>
        <w:pStyle w:val="4"/>
        <w:ind w:firstLine="720" w:firstLineChars="0"/>
        <w:rPr>
          <w:rFonts w:asciiTheme="minorAscii"/>
          <w:sz w:val="19"/>
          <w:szCs w:val="19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  <w:r>
        <w:rPr>
          <w:rFonts w:asciiTheme="minorAscii"/>
          <w:sz w:val="24"/>
          <w:szCs w:val="24"/>
        </w:rPr>
        <w:t xml:space="preserve">Cadastro de Advogado - 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Os advogados do escritório são cadastrados com as seguintes informações: nome, endereço, salário, telefone celular, RG e área de ação em que atua.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(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Ao cadastrar um advogado, caso sua área de ação não esteja cadastrada, deve existir uma maneira de cadastrar a mesma sem sair do cadastro do advogado.</w:t>
      </w: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 xml:space="preserve">Tarefa cadastro advogado : 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Quando um advogado é cadastrado é necessário validar se o mesmo já não está cadastrado.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Tarefas - acrescentar documentos ao processo sempre que necessário .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 xml:space="preserve">Sub tarefa - 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 xml:space="preserve">Sobre os documentos é preciso manter uma descrição e sua data de inclusão no </w:t>
      </w: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ab/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processo</w:t>
      </w: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 xml:space="preserve">Sub tarefa- 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Uma vez que o processo esteja completo, ele é encaminhado ao Fórum.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  <w:r>
        <w:rPr>
          <w:rFonts w:asciiTheme="minorAscii"/>
          <w:sz w:val="24"/>
          <w:szCs w:val="24"/>
        </w:rPr>
        <w:t xml:space="preserve">Criar Processo judicial - 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número do processo, data de abertura, advogado do processo, cliente do processo e uma descrição sobre o mesmo.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  <w:r>
        <w:rPr>
          <w:rFonts w:hAnsi="SimSun" w:eastAsia="SimSun" w:cs="SimSun" w:asciiTheme="minorAscii"/>
          <w:kern w:val="0"/>
          <w:sz w:val="20"/>
          <w:szCs w:val="20"/>
          <w:lang w:eastAsia="zh-CN" w:bidi="ar"/>
        </w:rPr>
        <w:t xml:space="preserve">Tarefa  - 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Ansi="SimSun" w:eastAsia="SimSun" w:cs="SimSun" w:asciiTheme="minorAscii"/>
          <w:i w:val="0"/>
          <w:iCs w:val="0"/>
          <w:color w:val="303030" w:themeColor="text1"/>
          <w:kern w:val="0"/>
          <w:sz w:val="24"/>
          <w:szCs w:val="24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É</w:t>
      </w: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 xml:space="preserve"> 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importante validar a existência do advogado no sistema.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Ansi="SimSun" w:eastAsia="SimSun" w:cs="SimSun" w:asciiTheme="minorAscii"/>
          <w:kern w:val="0"/>
          <w:sz w:val="20"/>
          <w:szCs w:val="20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 xml:space="preserve">Tarefa - 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Cada processo tem uma sentença.”</w:t>
      </w:r>
    </w:p>
    <w:p>
      <w:pPr>
        <w:pStyle w:val="4"/>
        <w:ind w:left="720" w:leftChars="0" w:firstLine="720" w:firstLineChars="0"/>
        <w:rPr>
          <w:rFonts w:asciiTheme="min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Tarefas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  <w:r>
        <w:rPr>
          <w:rFonts w:asciiTheme="minorAscii"/>
          <w:sz w:val="24"/>
          <w:szCs w:val="24"/>
        </w:rPr>
        <w:t xml:space="preserve">- 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Uma lista de áreas de ação é cadastrada contendo sua descrição.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Exercício 2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Macroprocesso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Processos</w:t>
      </w:r>
    </w:p>
    <w:p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Cadastros de agências, clientes</w:t>
      </w: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Atividades</w:t>
      </w:r>
    </w:p>
    <w:p>
      <w:pPr>
        <w:keepNext w:val="0"/>
        <w:keepLines w:val="0"/>
        <w:widowControl/>
        <w:suppressLineNumbers w:val="0"/>
        <w:ind w:left="360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S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istema deve permitir aos clientes consultar saldos e extratos</w:t>
      </w:r>
    </w:p>
    <w:p>
      <w:pPr>
        <w:keepNext w:val="0"/>
        <w:keepLines w:val="0"/>
        <w:widowControl/>
        <w:suppressLineNumbers w:val="0"/>
        <w:ind w:left="432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 xml:space="preserve">Tarefa </w:t>
      </w:r>
    </w:p>
    <w:p>
      <w:pPr>
        <w:keepNext w:val="0"/>
        <w:keepLines w:val="0"/>
        <w:widowControl/>
        <w:suppressLineNumbers w:val="0"/>
        <w:ind w:left="504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 xml:space="preserve">Pegar dados do Cliente: nome, endereço e </w:t>
      </w: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ab/>
        <w:t/>
      </w: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ab/>
      </w: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telefone e se será conjunta</w:t>
      </w:r>
    </w:p>
    <w:p>
      <w:pPr>
        <w:keepNext w:val="0"/>
        <w:keepLines w:val="0"/>
        <w:widowControl/>
        <w:suppressLineNumbers w:val="0"/>
        <w:ind w:left="360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Abrir e fechar contas bancárias</w:t>
      </w:r>
    </w:p>
    <w:p>
      <w:pPr>
        <w:keepNext w:val="0"/>
        <w:keepLines w:val="0"/>
        <w:widowControl/>
        <w:suppressLineNumbers w:val="0"/>
        <w:ind w:left="360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Cadastro de cliente</w:t>
      </w:r>
    </w:p>
    <w:p>
      <w:pPr>
        <w:keepNext w:val="0"/>
        <w:keepLines w:val="0"/>
        <w:widowControl/>
        <w:suppressLineNumbers w:val="0"/>
        <w:ind w:left="360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Clientes podem solicitar cartões de contas bancárias</w:t>
      </w:r>
    </w:p>
    <w:p>
      <w:pPr>
        <w:keepNext w:val="0"/>
        <w:keepLines w:val="0"/>
        <w:widowControl/>
        <w:suppressLineNumbers w:val="0"/>
        <w:ind w:left="432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Tarefa</w:t>
      </w:r>
    </w:p>
    <w:p>
      <w:pPr>
        <w:keepNext w:val="0"/>
        <w:keepLines w:val="0"/>
        <w:widowControl/>
        <w:suppressLineNumbers w:val="0"/>
        <w:ind w:left="5040" w:leftChars="0" w:firstLine="7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Validar cartões de crédito</w:t>
      </w:r>
    </w:p>
    <w:sectPr>
      <w:pgSz w:w="16840" w:h="11907" w:orient="landscape"/>
      <w:pgMar w:top="360" w:right="5234" w:bottom="360" w:left="3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720"/>
  <w:hyphenationZone w:val="425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doNotBreakWrappedTables/>
    <w:applyBreakingRu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A4"/>
    <w:rsid w:val="000344F7"/>
    <w:rsid w:val="000650AA"/>
    <w:rsid w:val="000A719C"/>
    <w:rsid w:val="001B00EC"/>
    <w:rsid w:val="001C1D56"/>
    <w:rsid w:val="00265600"/>
    <w:rsid w:val="002F6647"/>
    <w:rsid w:val="00334252"/>
    <w:rsid w:val="003617FD"/>
    <w:rsid w:val="0041211E"/>
    <w:rsid w:val="004F7605"/>
    <w:rsid w:val="0052109B"/>
    <w:rsid w:val="00597B2B"/>
    <w:rsid w:val="006373C6"/>
    <w:rsid w:val="00637C10"/>
    <w:rsid w:val="00691F1F"/>
    <w:rsid w:val="007155BB"/>
    <w:rsid w:val="007F6BBE"/>
    <w:rsid w:val="00870BA1"/>
    <w:rsid w:val="008D493E"/>
    <w:rsid w:val="009B3C1D"/>
    <w:rsid w:val="009F3DD6"/>
    <w:rsid w:val="00A94291"/>
    <w:rsid w:val="00AF136A"/>
    <w:rsid w:val="00B53B24"/>
    <w:rsid w:val="00BA18C7"/>
    <w:rsid w:val="00C1247D"/>
    <w:rsid w:val="00C62B8F"/>
    <w:rsid w:val="00CB3EA7"/>
    <w:rsid w:val="00CF5480"/>
    <w:rsid w:val="00EC6F67"/>
    <w:rsid w:val="00ED11E6"/>
    <w:rsid w:val="00EE6836"/>
    <w:rsid w:val="00EF1D00"/>
    <w:rsid w:val="00F102FF"/>
    <w:rsid w:val="00F22975"/>
    <w:rsid w:val="00F421A7"/>
    <w:rsid w:val="7DFF820E"/>
    <w:rsid w:val="7FFFDCE6"/>
    <w:rsid w:val="8F338140"/>
    <w:rsid w:val="9B5D0C9C"/>
    <w:rsid w:val="EF7B4CED"/>
    <w:rsid w:val="F3FF0685"/>
    <w:rsid w:val="FDEF53FB"/>
    <w:rsid w:val="FDF70115"/>
    <w:rsid w:val="FF4F6A17"/>
    <w:rsid w:val="FFF7B84F"/>
  </w:rsids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22"/>
      <w:szCs w:val="22"/>
      <w:lang w:val="pt-BR" w:eastAsia="pt-BR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stilo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826</Words>
  <Characters>4464</Characters>
  <Lines>37</Lines>
  <Paragraphs>10</Paragraphs>
  <TotalTime>0</TotalTime>
  <ScaleCrop>false</ScaleCrop>
  <LinksUpToDate>false</LinksUpToDate>
  <CharactersWithSpaces>5280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2015-08-21T15:35:00Z</dcterms:created>
  <dc:creator>Microsoft</dc:creator>
  <cp:keywords>CreatedByIRIS_DPE_12.03</cp:keywords>
  <cp:lastModifiedBy>vinipachecov</cp:lastModifiedBy>
  <dcterms:modified xsi:type="dcterms:W3CDTF">2017-09-01T21:46:09Z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