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start"/>
        <w:rPr/>
      </w:pPr>
      <w:r>
        <w:rPr/>
        <w:t>Anotações sobre Herança em JavaScript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/>
        <w:t>Atividade Não Presencial — 23/10/2026</w:t>
        <w:br/>
        <w:t>Aluno(a): ____________________________________</w:t>
      </w:r>
    </w:p>
    <w:p>
      <w:pPr>
        <w:pStyle w:val="Heading2"/>
        <w:numPr>
          <w:ilvl w:val="0"/>
          <w:numId w:val="0"/>
        </w:numPr>
        <w:pBdr/>
        <w:bidi w:val="0"/>
        <w:spacing w:before="140" w:after="60"/>
        <w:ind w:start="140" w:end="140"/>
        <w:jc w:val="start"/>
        <w:rPr/>
      </w:pPr>
      <w:r>
        <w:rPr/>
        <w:t>Estudo na MDN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/>
        <w:t xml:space="preserve">Li a seção </w:t>
      </w:r>
      <w:r>
        <w:rPr>
          <w:rStyle w:val="Strong"/>
        </w:rPr>
        <w:t>“Classes ECMAScript 2015”</w:t>
      </w:r>
      <w:r>
        <w:rPr/>
        <w:t xml:space="preserve">. Implementei e executei o exemplo adaptado com </w:t>
      </w:r>
      <w:r>
        <w:rPr>
          <w:rStyle w:val="SourceText"/>
        </w:rPr>
        <w:t>Person</w:t>
      </w:r>
      <w:r>
        <w:rPr/>
        <w:t xml:space="preserve"> e </w:t>
      </w:r>
      <w:r>
        <w:rPr>
          <w:rStyle w:val="SourceText"/>
        </w:rPr>
        <w:t>Teacher</w:t>
      </w:r>
      <w:r>
        <w:rPr/>
        <w:t xml:space="preserve">. </w:t>
      </w:r>
      <w:r>
        <w:rPr>
          <w:rStyle w:val="SourceText"/>
        </w:rPr>
        <w:t>Teacher extends Person</w:t>
      </w:r>
      <w:r>
        <w:rPr/>
        <w:t xml:space="preserve"> herda os dados e métodos; seu construtor usa </w:t>
      </w:r>
      <w:r>
        <w:rPr>
          <w:rStyle w:val="SourceText"/>
        </w:rPr>
        <w:t>super(first, last, age, gender, interests)</w:t>
      </w:r>
      <w:r>
        <w:rPr/>
        <w:t xml:space="preserve"> e acrescenta </w:t>
      </w:r>
      <w:r>
        <w:rPr>
          <w:rStyle w:val="SourceText"/>
        </w:rPr>
        <w:t>subject</w:t>
      </w:r>
      <w:r>
        <w:rPr/>
        <w:t xml:space="preserve"> e </w:t>
      </w:r>
      <w:r>
        <w:rPr>
          <w:rStyle w:val="SourceText"/>
        </w:rPr>
        <w:t>grade</w:t>
      </w:r>
      <w:r>
        <w:rPr/>
        <w:t xml:space="preserve">. O objeto </w:t>
      </w:r>
      <w:r>
        <w:rPr>
          <w:rStyle w:val="SourceText"/>
        </w:rPr>
        <w:t>snape</w:t>
      </w:r>
      <w:r>
        <w:rPr/>
        <w:t xml:space="preserve"> produziu: “Hi! I'm Severus”, “Severus has left the building. Bye for now!”, “Idade: 58; matéria inicial: Dark arts”. Também implementei </w:t>
      </w:r>
      <w:r>
        <w:rPr>
          <w:rStyle w:val="SourceText"/>
        </w:rPr>
        <w:t>get subject()</w:t>
      </w:r>
      <w:r>
        <w:rPr/>
        <w:t xml:space="preserve"> e </w:t>
      </w:r>
      <w:r>
        <w:rPr>
          <w:rStyle w:val="SourceText"/>
        </w:rPr>
        <w:t>set subject()</w:t>
      </w:r>
      <w:r>
        <w:rPr/>
        <w:t xml:space="preserve">: depois de </w:t>
      </w:r>
      <w:r>
        <w:rPr>
          <w:rStyle w:val="SourceText"/>
        </w:rPr>
        <w:t>snape.subject = "Balloon animals"</w:t>
      </w:r>
      <w:r>
        <w:rPr/>
        <w:t>, a saída foi “Matéria após o setter: Balloon animals”.</w:t>
      </w:r>
    </w:p>
    <w:p>
      <w:pPr>
        <w:pStyle w:val="Heading2"/>
        <w:numPr>
          <w:ilvl w:val="0"/>
          <w:numId w:val="0"/>
        </w:numPr>
        <w:pBdr/>
        <w:bidi w:val="0"/>
        <w:spacing w:before="140" w:after="60"/>
        <w:ind w:start="140" w:end="140"/>
        <w:jc w:val="start"/>
        <w:rPr/>
      </w:pPr>
      <w:r>
        <w:rPr/>
        <w:t>Exemplo criado com IA: contas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ourceText"/>
        </w:rPr>
        <w:t>ContaBancaria</w:t>
      </w:r>
      <w:r>
        <w:rPr/>
        <w:t xml:space="preserve"> possui titular e saldo, permite consultar e depositar e usa </w:t>
      </w:r>
      <w:r>
        <w:rPr>
          <w:rStyle w:val="SourceText"/>
        </w:rPr>
        <w:t>if/else if/else</w:t>
      </w:r>
      <w:r>
        <w:rPr/>
        <w:t xml:space="preserve"> no saque: valor inválido, saldo insuficiente ou saque realizado. Ana começa com R$ 100,00, saca R$ 30,00 e fica com R$ 70,00; também testa saques inválidos.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ourceText"/>
        </w:rPr>
        <w:t>ContaPoupanca extends ContaBancaria</w:t>
      </w:r>
      <w:r>
        <w:rPr/>
        <w:t xml:space="preserve"> chama </w:t>
      </w:r>
      <w:r>
        <w:rPr>
          <w:rStyle w:val="SourceText"/>
        </w:rPr>
        <w:t>super(titular, saldo)</w:t>
      </w:r>
      <w:r>
        <w:rPr/>
        <w:t xml:space="preserve">, calcula rendimento e sobrescreve </w:t>
      </w:r>
      <w:r>
        <w:rPr>
          <w:rStyle w:val="SourceText"/>
        </w:rPr>
        <w:t>mostrarDados()</w:t>
      </w:r>
      <w:r>
        <w:rPr/>
        <w:t xml:space="preserve"> usando </w:t>
      </w:r>
      <w:r>
        <w:rPr>
          <w:rStyle w:val="SourceText"/>
        </w:rPr>
        <w:t>super.mostrarDados()</w:t>
      </w:r>
      <w:r>
        <w:rPr/>
        <w:t>. Bruno começa com R$ 200,00, recebe R$ 10,00 de rendimento (5%) e fica com R$ 210,00.</w:t>
      </w:r>
    </w:p>
    <w:p>
      <w:pPr>
        <w:pStyle w:val="Heading2"/>
        <w:numPr>
          <w:ilvl w:val="0"/>
          <w:numId w:val="0"/>
        </w:numPr>
        <w:pBdr/>
        <w:bidi w:val="0"/>
        <w:spacing w:before="140" w:after="60"/>
        <w:ind w:start="140" w:end="140"/>
        <w:jc w:val="start"/>
        <w:rPr/>
      </w:pPr>
      <w:r>
        <w:rPr/>
        <w:t>Conceitos compreendidos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ourceText"/>
        </w:rPr>
        <w:t>extends</w:t>
      </w:r>
      <w:r>
        <w:rPr/>
        <w:t xml:space="preserve"> estabelece a herança. </w:t>
      </w:r>
      <w:r>
        <w:rPr>
          <w:rStyle w:val="SourceText"/>
        </w:rPr>
        <w:t>super(...)</w:t>
      </w:r>
      <w:r>
        <w:rPr/>
        <w:t xml:space="preserve"> chama o construtor da classe pai e inicializa seus atributos; o atributo público herdado </w:t>
      </w:r>
      <w:r>
        <w:rPr>
          <w:rStyle w:val="SourceText"/>
        </w:rPr>
        <w:t>age</w:t>
      </w:r>
      <w:r>
        <w:rPr/>
        <w:t xml:space="preserve"> é lido por </w:t>
      </w:r>
      <w:r>
        <w:rPr>
          <w:rStyle w:val="SourceText"/>
        </w:rPr>
        <w:t>snape.age</w:t>
      </w:r>
      <w:r>
        <w:rPr/>
        <w:t xml:space="preserve"> (dentro da subclasse, por </w:t>
      </w:r>
      <w:r>
        <w:rPr>
          <w:rStyle w:val="SourceText"/>
        </w:rPr>
        <w:t>this.age</w:t>
      </w:r>
      <w:r>
        <w:rPr/>
        <w:t xml:space="preserve">). Já </w:t>
      </w:r>
      <w:r>
        <w:rPr>
          <w:rStyle w:val="SourceText"/>
        </w:rPr>
        <w:t>super.mostrarDados()</w:t>
      </w:r>
      <w:r>
        <w:rPr/>
        <w:t xml:space="preserve"> chama um método da classe pai. </w:t>
      </w:r>
      <w:r>
        <w:rPr>
          <w:rStyle w:val="SourceText"/>
        </w:rPr>
        <w:t>else if</w:t>
      </w:r>
      <w:r>
        <w:rPr/>
        <w:t xml:space="preserve"> testa outra condição quando a anterior falha; </w:t>
      </w:r>
      <w:r>
        <w:rPr>
          <w:rStyle w:val="SourceText"/>
        </w:rPr>
        <w:t>return</w:t>
      </w:r>
      <w:r>
        <w:rPr/>
        <w:t xml:space="preserve"> devolve a mensagem do método.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/>
        <w:t xml:space="preserve">Cada conta é um objeto com identidade própria: Ana e Bruno têm estados separados. O saldo é privado em </w:t>
      </w:r>
      <w:r>
        <w:rPr>
          <w:rStyle w:val="SourceText"/>
        </w:rPr>
        <w:t>#saldo</w:t>
      </w:r>
      <w:r>
        <w:rPr/>
        <w:t xml:space="preserve">; a subclasse usa somente métodos públicos como </w:t>
      </w:r>
      <w:r>
        <w:rPr>
          <w:rStyle w:val="SourceText"/>
        </w:rPr>
        <w:t>consultarSaldo()</w:t>
      </w:r>
      <w:r>
        <w:rPr/>
        <w:t xml:space="preserve"> e </w:t>
      </w:r>
      <w:r>
        <w:rPr>
          <w:rStyle w:val="SourceText"/>
        </w:rPr>
        <w:t>depositar()</w:t>
      </w:r>
      <w:r>
        <w:rPr/>
        <w:t>. Isso oculta a implementação e reduz o acoplamento entre as classes.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>
          <w:rStyle w:val="Strong"/>
        </w:rPr>
        <w:t>Dúvida pessoal:</w:t>
      </w:r>
      <w:r>
        <w:rPr/>
        <w:t xml:space="preserve"> ainda tenho dúvidas sobre quando usar </w:t>
      </w:r>
      <w:r>
        <w:rPr>
          <w:rStyle w:val="SourceText"/>
        </w:rPr>
        <w:t>extends</w:t>
      </w:r>
      <w:r>
        <w:rPr/>
        <w:t xml:space="preserve"> e </w:t>
      </w:r>
      <w:r>
        <w:rPr>
          <w:rStyle w:val="SourceText"/>
        </w:rPr>
        <w:t>super</w:t>
      </w:r>
      <w:r>
        <w:rPr/>
        <w:t xml:space="preserve">, principalmente para chamar métodos da classe pai. Entendi que devo escrever, por exemplo, </w:t>
      </w:r>
      <w:r>
        <w:rPr>
          <w:rStyle w:val="SourceText"/>
        </w:rPr>
        <w:t>super.mostrarDados()</w:t>
      </w:r>
      <w:r>
        <w:rPr/>
        <w:t xml:space="preserve"> dentro da subclasse, mas preciso praticar mais.</w:t>
      </w:r>
    </w:p>
    <w:p>
      <w:pPr>
        <w:pStyle w:val="Heading2"/>
        <w:numPr>
          <w:ilvl w:val="0"/>
          <w:numId w:val="0"/>
        </w:numPr>
        <w:pBdr/>
        <w:bidi w:val="0"/>
        <w:spacing w:before="140" w:after="60"/>
        <w:ind w:start="140" w:end="140"/>
        <w:jc w:val="start"/>
        <w:rPr/>
      </w:pPr>
      <w:r>
        <w:rPr/>
        <w:t>Fontes</w:t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/>
        <w:t xml:space="preserve">MDN — Herança em JavaScript, seção “Classes ECMAScript 2015”: </w:t>
      </w:r>
      <w:r>
        <w:fldChar w:fldCharType="begin"/>
      </w:r>
      <w:r>
        <w:rPr>
          <w:rStyle w:val="Hyperlink"/>
        </w:rPr>
        <w:instrText xml:space="preserve"> HYPERLINK "https://developer.mozilla.org/pt-BR/docs/Learn_web_development/Extensions/Advanced_JavaScript_objects/Classes_in_JavaScript" \l "classes_ecmascript_2015"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https://developer.mozilla.org/pt-BR/docs/Learn_web_development/Extensions/Advanced_JavaScript_objects/Classes_in_JavaScript#classes_ecmascript_2015</w:t>
      </w:r>
      <w:r>
        <w:rPr>
          <w:rStyle w:val="Hyperlink"/>
        </w:rPr>
        <w:fldChar w:fldCharType="end"/>
      </w:r>
    </w:p>
    <w:p>
      <w:pPr>
        <w:pStyle w:val="BodyText"/>
        <w:bidi w:val="0"/>
        <w:spacing w:before="60" w:after="60"/>
        <w:ind w:start="60" w:end="60"/>
        <w:jc w:val="start"/>
        <w:rPr/>
      </w:pPr>
      <w:r>
        <w:rPr/>
        <w:t>Ferramenta de IA: ChatGPT/Codex, 26/10/2026.</w:t>
      </w:r>
    </w:p>
    <w:sectPr>
      <w:type w:val="nextPage"/>
      <w:pgSz w:w="11906" w:h="16838"/>
      <w:pgMar w:left="709" w:right="709" w:gutter="0" w:header="0" w:top="709" w:footer="0" w:bottom="709"/>
      <w:pgNumType w:fmt="decimal"/>
      <w:formProt w:val="false"/>
      <w:textDirection w:val="lrTb"/>
      <w:docGrid w:type="default" w:linePitch="600" w:charSpace="4341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83"/>
    </w:pPr>
    <w:rPr>
      <w:rFonts w:ascii="Arial;sans-serif" w:hAnsi="Arial;sans-serif" w:eastAsia="Arial;sans-serif" w:cs="Arial;sans-serif"/>
      <w:color w:val="202B38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b/>
      <w:bCs/>
      <w:color w:val="17365D"/>
      <w:sz w:val="34"/>
      <w:szCs w:val="3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1" w:color="9BB1C8"/>
      </w:pBdr>
      <w:spacing w:before="140" w:after="60"/>
      <w:ind w:start="140" w:end="140"/>
      <w:outlineLvl w:val="1"/>
    </w:pPr>
    <w:rPr>
      <w:rFonts w:ascii="Liberation Serif" w:hAnsi="Liberation Serif" w:eastAsia="Noto Serif CJK SC" w:cs="Noto Sans Devanagari"/>
      <w:b/>
      <w:bCs/>
      <w:color w:val="17365D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sz w:val="17"/>
      <w:szCs w:val="17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60" w:after="60"/>
      <w:ind w:start="60" w:end="6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</Pages>
  <Words>309</Words>
  <Characters>1965</Characters>
  <CharactersWithSpaces>2262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Anotações sobre Herança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