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Article title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Abstract text.</w:t>
      </w:r>
    </w:p>
    <w:p>
      <w:pPr>
        <w:pStyle w:val="FirstParagraph"/>
      </w:pPr>
      <w:r>
        <w:t xml:space="preserve">Keyword 1 ,Keyword 2 ,Keyword 3 ,Keyword 4 ,Keyword 5 ,Keyword 6</w:t>
      </w:r>
    </w:p>
    <w:bookmarkStart w:id="9" w:name="introductio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Introduction</w:t>
      </w:r>
    </w:p>
    <w:p>
      <w:pPr>
        <w:pStyle w:val="FirstParagraph"/>
      </w:pPr>
      <w:r>
        <w:t xml:space="preserve">Text with citations:</w:t>
      </w:r>
    </w:p>
    <w:p>
      <w:pPr>
        <w:numPr>
          <w:ilvl w:val="0"/>
          <w:numId w:val="1001"/>
        </w:numPr>
      </w:pPr>
      <w:r>
        <w:t xml:space="preserve">textual citation where the author is part of the sentence (citet):</w:t>
      </w:r>
      <w:r>
        <w:t xml:space="preserve"> </w:t>
      </w:r>
      <w:r>
        <w:t xml:space="preserve">[1]</w:t>
      </w:r>
    </w:p>
    <w:p>
      <w:pPr>
        <w:numPr>
          <w:ilvl w:val="0"/>
          <w:numId w:val="1001"/>
        </w:numPr>
      </w:pPr>
      <w:r>
        <w:t xml:space="preserve">parenthetical citation (citep):</w:t>
      </w:r>
      <w:r>
        <w:t xml:space="preserve"> </w:t>
      </w:r>
      <w:r>
        <w:t xml:space="preserve">[1]</w:t>
      </w:r>
    </w:p>
    <w:bookmarkEnd w:id="9"/>
    <w:bookmarkStart w:id="16" w:name="methodology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Methodology</w:t>
      </w:r>
    </w:p>
    <w:p>
      <w:pPr>
        <w:pStyle w:val="FirstParagraph"/>
      </w:pPr>
      <w:r>
        <w:t xml:space="preserve">The Figure</w:t>
      </w:r>
      <w:r>
        <w:t xml:space="preserve"> </w:t>
      </w:r>
      <w:hyperlink w:anchor="fig:example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was made using script ‘flowchart.py‘ ...</w:t>
      </w:r>
    </w:p>
    <w:bookmarkStart w:id="13" w:name="fig:example"/>
    <w:p>
      <w:pPr>
        <w:pStyle w:val="CaptionedFigure"/>
      </w:pPr>
      <w:r>
        <w:drawing>
          <wp:inline>
            <wp:extent cx="5334000" cy="3546067"/>
            <wp:effectExtent b="0" l="0" r="0" t="0"/>
            <wp:docPr descr="Figure 1: Flowchart of how LaTeX works to generate a PDF." title="" id="11" name="Picture"/>
            <a:graphic>
              <a:graphicData uri="http://schemas.openxmlformats.org/drawingml/2006/picture">
                <pic:pic>
                  <pic:nvPicPr>
                    <pic:cNvPr descr="figs/flowchart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6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 Flowchart of how LaTeX works to generate a PDF.</w:t>
      </w:r>
    </w:p>
    <w:bookmarkEnd w:id="13"/>
    <w:bookmarkStart w:id="15" w:name="subsec:example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Subsection example</w:t>
      </w:r>
    </w:p>
    <w:p>
      <w:pPr>
        <w:pStyle w:val="FirstParagraph"/>
      </w:pPr>
      <w:r>
        <w:t xml:space="preserve">Example of equation (Equation</w:t>
      </w:r>
      <w:r>
        <w:t xml:space="preserve"> </w:t>
      </w:r>
      <w:hyperlink w:anchor="eq:example">
        <w:r>
          <w:rPr>
            <w:rStyle w:val="Hyperlink"/>
          </w:rPr>
          <w:t xml:space="preserve">[eq:example]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A</m:t>
          </m:r>
          <m:r>
            <m:t>O</m:t>
          </m:r>
          <m:sSub>
            <m:e>
              <m:r>
                <m:t>I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t</m:t>
              </m:r>
              <m:r>
                <m:rPr>
                  <m:sty m:val="p"/>
                </m:rPr>
                <m:t>∈</m:t>
              </m:r>
              <m:r>
                <m:t>S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G</m:t>
          </m:r>
          <m:r>
            <m:t>H</m:t>
          </m:r>
          <m:sSub>
            <m:e>
              <m:r>
                <m:t>I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r>
            <m:t>G</m:t>
          </m:r>
          <m:r>
            <m:t>H</m:t>
          </m:r>
          <m:sSub>
            <m:e>
              <m:r>
                <m:t>I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∣</m:t>
        </m:r>
        <m:r>
          <m:t>G</m:t>
        </m:r>
        <m:r>
          <m:t>H</m:t>
        </m:r>
        <m:sSub>
          <m:e>
            <m:r>
              <m:t>I</m:t>
            </m:r>
          </m:e>
          <m:sub>
            <m:r>
              <m:t>t</m:t>
            </m:r>
          </m:sub>
        </m:sSub>
        <m:r>
          <m:rPr>
            <m:sty m:val="p"/>
          </m:rPr>
          <m:t>&gt;</m:t>
        </m:r>
        <m:r>
          <m:t>G</m:t>
        </m:r>
        <m:r>
          <m:t>H</m:t>
        </m:r>
        <m:sSub>
          <m:e>
            <m:r>
              <m:t>I</m:t>
            </m:r>
          </m:e>
          <m:sub>
            <m:r>
              <m:t>R</m:t>
            </m:r>
            <m:r>
              <m:t>e</m:t>
            </m:r>
            <m:r>
              <m:t>f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|</m:t>
        </m:r>
        <m:r>
          <m:t>S</m:t>
        </m:r>
        <m:r>
          <m:rPr>
            <m:sty m:val="p"/>
          </m:rPr>
          <m:t>|</m:t>
        </m:r>
      </m:oMath>
      <w:r>
        <w:t xml:space="preserve">.</w:t>
      </w:r>
    </w:p>
    <w:p>
      <w:pPr>
        <w:pStyle w:val="BodyText"/>
      </w:pPr>
      <w:r>
        <w:t xml:space="preserve">Example of a table (Table</w:t>
      </w:r>
      <w:r>
        <w:t xml:space="preserve"> </w:t>
      </w:r>
      <w:hyperlink w:anchor="tab:example">
        <w:r>
          <w:rPr>
            <w:rStyle w:val="Hyperlink"/>
          </w:rPr>
          <w:t xml:space="preserve">1</w:t>
        </w:r>
      </w:hyperlink>
      <w:r>
        <w:t xml:space="preserve">):</w:t>
      </w:r>
    </w:p>
    <w:bookmarkStart w:id="14" w:name="tab:example"/>
    <w:p>
      <w:pPr>
        <w:pStyle w:val="TableCaption"/>
      </w:pPr>
      <w:r>
        <w:t xml:space="preserve">Summary of the results.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ummary of the result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Var1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0.20342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0.14154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0.21000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0.16708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0.12000</w:t>
            </w:r>
          </w:p>
        </w:tc>
      </w:tr>
    </w:tbl>
    <w:bookmarkEnd w:id="14"/>
    <w:bookmarkEnd w:id="15"/>
    <w:bookmarkEnd w:id="16"/>
    <w:bookmarkStart w:id="17" w:name="results-and-discussion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Results and discussion</w:t>
      </w:r>
    </w:p>
    <w:p>
      <w:pPr>
        <w:pStyle w:val="FirstParagraph"/>
      </w:pPr>
      <w:r>
        <w:t xml:space="preserve">More text... See more at Section</w:t>
      </w:r>
      <w:r>
        <w:t xml:space="preserve"> </w:t>
      </w:r>
      <w:hyperlink w:anchor="subsec:example">
        <w:r>
          <w:rPr>
            <w:rStyle w:val="Hyperlink"/>
          </w:rPr>
          <w:t xml:space="preserve">2.1</w:t>
        </w:r>
      </w:hyperlink>
    </w:p>
    <w:bookmarkEnd w:id="17"/>
    <w:bookmarkStart w:id="18" w:name="conclusions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Conclusions</w:t>
      </w:r>
    </w:p>
    <w:p>
      <w:pPr>
        <w:pStyle w:val="FirstParagraph"/>
      </w:pPr>
      <w:r>
        <w:t xml:space="preserve">More text... See more at Appendix</w:t>
      </w:r>
      <w:r>
        <w:t xml:space="preserve"> </w:t>
      </w:r>
      <w:hyperlink w:anchor="sec:appendix">
        <w:r>
          <w:rPr>
            <w:rStyle w:val="Hyperlink"/>
          </w:rPr>
          <w:t xml:space="preserve">5</w:t>
        </w:r>
      </w:hyperlink>
    </w:p>
    <w:bookmarkEnd w:id="18"/>
    <w:bookmarkStart w:id="22" w:name="sec:appendix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Appendix name section</w:t>
      </w:r>
    </w:p>
    <w:p>
      <w:pPr>
        <w:pStyle w:val="FirstParagraph"/>
      </w:pPr>
      <w:r>
        <w:t xml:space="preserve">Appendix informations ...</w:t>
      </w:r>
    </w:p>
    <w:bookmarkStart w:id="21" w:name="refs"/>
    <w:bookmarkStart w:id="20" w:name="ref-Rocha2025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V.R. da Rocha, G. Fisch, R.S. Costa, A. Ruano, Anomaly detection in all-sky images: An approach using robust ensemble modeling of cloud cover fraction and prediction bounds, Engineering Applications of Artificial Intelligence 143 (2025) 110003. https://doi.org/</w:t>
      </w:r>
      <w:hyperlink r:id="rId19">
        <w:r>
          <w:rPr>
            <w:rStyle w:val="Hyperlink"/>
          </w:rPr>
          <w:t xml:space="preserve">10.1016/j.engappai.2025.110003</w:t>
        </w:r>
      </w:hyperlink>
      <w:r>
        <w:t xml:space="preserve">.</w:t>
      </w:r>
    </w:p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19" Target="https://doi.org/10.1016/j.engappai.2025.11000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doi.org/10.1016/j.engappai.2025.11000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Article title</dc:title>
  <dc:creator/>
  <cp:keywords/>
  <dcterms:created xsi:type="dcterms:W3CDTF">2025-12-17T20:51:30Z</dcterms:created>
  <dcterms:modified xsi:type="dcterms:W3CDTF">2025-12-17T20:51:30Z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Abstract text.</vt:lpwstr>
  </property>
  <property fmtid="{D5CDD505-2E9C-101B-9397-08002B2CF9AE}" pid="3" name="autoEqnLabels">
    <vt:lpwstr>False</vt:lpwstr>
  </property>
  <property fmtid="{D5CDD505-2E9C-101B-9397-08002B2CF9AE}" pid="4" name="autoSectionLabels">
    <vt:lpwstr>False</vt:lpwstr>
  </property>
  <property fmtid="{D5CDD505-2E9C-101B-9397-08002B2CF9AE}" pid="5" name="bibliography">
    <vt:lpwstr>cas-refs.bib</vt:lpwstr>
  </property>
  <property fmtid="{D5CDD505-2E9C-101B-9397-08002B2CF9AE}" pid="6" name="ccsDelim">
    <vt:lpwstr>, </vt:lpwstr>
  </property>
  <property fmtid="{D5CDD505-2E9C-101B-9397-08002B2CF9AE}" pid="7" name="ccsLabelSep">
    <vt:lpwstr> — </vt:lpwstr>
  </property>
  <property fmtid="{D5CDD505-2E9C-101B-9397-08002B2CF9AE}" pid="8" name="ccsTemplate">
    <vt:lpwstr>iccsLabelSept</vt:lpwstr>
  </property>
  <property fmtid="{D5CDD505-2E9C-101B-9397-08002B2CF9AE}" pid="9" name="chapDelim">
    <vt:lpwstr>.</vt:lpwstr>
  </property>
  <property fmtid="{D5CDD505-2E9C-101B-9397-08002B2CF9AE}" pid="10" name="chapters">
    <vt:lpwstr>False</vt:lpwstr>
  </property>
  <property fmtid="{D5CDD505-2E9C-101B-9397-08002B2CF9AE}" pid="11" name="chaptersDepth">
    <vt:lpwstr>1</vt:lpwstr>
  </property>
  <property fmtid="{D5CDD505-2E9C-101B-9397-08002B2CF9AE}" pid="12" name="codeBlockCaptions">
    <vt:lpwstr>False</vt:lpwstr>
  </property>
  <property fmtid="{D5CDD505-2E9C-101B-9397-08002B2CF9AE}" pid="13" name="cref">
    <vt:lpwstr>False</vt:lpwstr>
  </property>
  <property fmtid="{D5CDD505-2E9C-101B-9397-08002B2CF9AE}" pid="14" name="crossrefYaml">
    <vt:lpwstr>pandoc-crossref.yaml</vt:lpwstr>
  </property>
  <property fmtid="{D5CDD505-2E9C-101B-9397-08002B2CF9AE}" pid="15" name="csl">
    <vt:lpwstr>elsevier-with-titles.csl</vt:lpwstr>
  </property>
  <property fmtid="{D5CDD505-2E9C-101B-9397-08002B2CF9AE}" pid="16" name="eqLabels">
    <vt:lpwstr>arabic</vt:lpwstr>
  </property>
  <property fmtid="{D5CDD505-2E9C-101B-9397-08002B2CF9AE}" pid="17" name="eqnBlockInlineMath">
    <vt:lpwstr>False</vt:lpwstr>
  </property>
  <property fmtid="{D5CDD505-2E9C-101B-9397-08002B2CF9AE}" pid="18" name="eqnBlockTemplate">
    <vt:lpwstr>ti</vt:lpwstr>
  </property>
  <property fmtid="{D5CDD505-2E9C-101B-9397-08002B2CF9AE}" pid="19" name="eqnDisplayTemplate">
    <vt:lpwstr>e</vt:lpwstr>
  </property>
  <property fmtid="{D5CDD505-2E9C-101B-9397-08002B2CF9AE}" pid="20" name="eqnIndexTemplate">
    <vt:lpwstr>(i)</vt:lpwstr>
  </property>
  <property fmtid="{D5CDD505-2E9C-101B-9397-08002B2CF9AE}" pid="21" name="eqnInlineTableTemplate">
    <vt:lpwstr>e</vt:lpwstr>
  </property>
  <property fmtid="{D5CDD505-2E9C-101B-9397-08002B2CF9AE}" pid="22" name="eqnInlineTemplate">
    <vt:lpwstr>eequationNumberTeX{i}</vt:lpwstr>
  </property>
  <property fmtid="{D5CDD505-2E9C-101B-9397-08002B2CF9AE}" pid="23" name="eqnPrefix">
    <vt:lpwstr/>
  </property>
  <property fmtid="{D5CDD505-2E9C-101B-9397-08002B2CF9AE}" pid="24" name="eqnPrefixTemplate">
    <vt:lpwstr>p i</vt:lpwstr>
  </property>
  <property fmtid="{D5CDD505-2E9C-101B-9397-08002B2CF9AE}" pid="25" name="equationNumberTeX">
    <vt:lpwstr>\qquad</vt:lpwstr>
  </property>
  <property fmtid="{D5CDD505-2E9C-101B-9397-08002B2CF9AE}" pid="26" name="figLabels">
    <vt:lpwstr>arabic</vt:lpwstr>
  </property>
  <property fmtid="{D5CDD505-2E9C-101B-9397-08002B2CF9AE}" pid="27" name="figPrefix">
    <vt:lpwstr/>
  </property>
  <property fmtid="{D5CDD505-2E9C-101B-9397-08002B2CF9AE}" pid="28" name="figPrefixTemplate">
    <vt:lpwstr>p i</vt:lpwstr>
  </property>
  <property fmtid="{D5CDD505-2E9C-101B-9397-08002B2CF9AE}" pid="29" name="figureTemplate">
    <vt:lpwstr>figureTitle ititleDelim t</vt:lpwstr>
  </property>
  <property fmtid="{D5CDD505-2E9C-101B-9397-08002B2CF9AE}" pid="30" name="figureTitle">
    <vt:lpwstr>Figure</vt:lpwstr>
  </property>
  <property fmtid="{D5CDD505-2E9C-101B-9397-08002B2CF9AE}" pid="31" name="lastDelim">
    <vt:lpwstr>, </vt:lpwstr>
  </property>
  <property fmtid="{D5CDD505-2E9C-101B-9397-08002B2CF9AE}" pid="32" name="linkReferences">
    <vt:lpwstr>False</vt:lpwstr>
  </property>
  <property fmtid="{D5CDD505-2E9C-101B-9397-08002B2CF9AE}" pid="33" name="listItemTitleDelim">
    <vt:lpwstr>.</vt:lpwstr>
  </property>
  <property fmtid="{D5CDD505-2E9C-101B-9397-08002B2CF9AE}" pid="34" name="listOfMetadata">
    <vt:lpwstr>False</vt:lpwstr>
  </property>
  <property fmtid="{D5CDD505-2E9C-101B-9397-08002B2CF9AE}" pid="35" name="listingTemplate">
    <vt:lpwstr>listingTitle ititleDelim t</vt:lpwstr>
  </property>
  <property fmtid="{D5CDD505-2E9C-101B-9397-08002B2CF9AE}" pid="36" name="listingTitle">
    <vt:lpwstr>Listing</vt:lpwstr>
  </property>
  <property fmtid="{D5CDD505-2E9C-101B-9397-08002B2CF9AE}" pid="37" name="listings">
    <vt:lpwstr>False</vt:lpwstr>
  </property>
  <property fmtid="{D5CDD505-2E9C-101B-9397-08002B2CF9AE}" pid="38" name="lofItemTemplate">
    <vt:lpwstr>lofItemTitleilistItemTitleDelimt </vt:lpwstr>
  </property>
  <property fmtid="{D5CDD505-2E9C-101B-9397-08002B2CF9AE}" pid="39" name="lofItemTitle">
    <vt:lpwstr/>
  </property>
  <property fmtid="{D5CDD505-2E9C-101B-9397-08002B2CF9AE}" pid="40" name="lofTitle">
    <vt:lpwstr>List of Figures</vt:lpwstr>
  </property>
  <property fmtid="{D5CDD505-2E9C-101B-9397-08002B2CF9AE}" pid="41" name="lolItemTemplate">
    <vt:lpwstr>lolItemTitleilistItemTitleDelimt </vt:lpwstr>
  </property>
  <property fmtid="{D5CDD505-2E9C-101B-9397-08002B2CF9AE}" pid="42" name="lolItemTitle">
    <vt:lpwstr/>
  </property>
  <property fmtid="{D5CDD505-2E9C-101B-9397-08002B2CF9AE}" pid="43" name="lolTitle">
    <vt:lpwstr>List of Listings</vt:lpwstr>
  </property>
  <property fmtid="{D5CDD505-2E9C-101B-9397-08002B2CF9AE}" pid="44" name="lotItemTemplate">
    <vt:lpwstr>lotItemTitleilistItemTitleDelimt </vt:lpwstr>
  </property>
  <property fmtid="{D5CDD505-2E9C-101B-9397-08002B2CF9AE}" pid="45" name="lotItemTitle">
    <vt:lpwstr/>
  </property>
  <property fmtid="{D5CDD505-2E9C-101B-9397-08002B2CF9AE}" pid="46" name="lotTitle">
    <vt:lpwstr>List of Tables</vt:lpwstr>
  </property>
  <property fmtid="{D5CDD505-2E9C-101B-9397-08002B2CF9AE}" pid="47" name="lstLabels">
    <vt:lpwstr>arabic</vt:lpwstr>
  </property>
  <property fmtid="{D5CDD505-2E9C-101B-9397-08002B2CF9AE}" pid="48" name="lstPrefix">
    <vt:lpwstr/>
  </property>
  <property fmtid="{D5CDD505-2E9C-101B-9397-08002B2CF9AE}" pid="49" name="lstPrefixTemplate">
    <vt:lpwstr>p i</vt:lpwstr>
  </property>
  <property fmtid="{D5CDD505-2E9C-101B-9397-08002B2CF9AE}" pid="50" name="nameInLink">
    <vt:lpwstr>False</vt:lpwstr>
  </property>
  <property fmtid="{D5CDD505-2E9C-101B-9397-08002B2CF9AE}" pid="51" name="numberSections">
    <vt:lpwstr>False</vt:lpwstr>
  </property>
  <property fmtid="{D5CDD505-2E9C-101B-9397-08002B2CF9AE}" pid="52" name="pairDelim">
    <vt:lpwstr>, </vt:lpwstr>
  </property>
  <property fmtid="{D5CDD505-2E9C-101B-9397-08002B2CF9AE}" pid="53" name="rangeDelim">
    <vt:lpwstr>-</vt:lpwstr>
  </property>
  <property fmtid="{D5CDD505-2E9C-101B-9397-08002B2CF9AE}" pid="54" name="refDelim">
    <vt:lpwstr>, </vt:lpwstr>
  </property>
  <property fmtid="{D5CDD505-2E9C-101B-9397-08002B2CF9AE}" pid="55" name="refIndexTemplate">
    <vt:lpwstr>isuf</vt:lpwstr>
  </property>
  <property fmtid="{D5CDD505-2E9C-101B-9397-08002B2CF9AE}" pid="56" name="secHeaderDelim">
    <vt:lpwstr> </vt:lpwstr>
  </property>
  <property fmtid="{D5CDD505-2E9C-101B-9397-08002B2CF9AE}" pid="57" name="secHeaderTemplate">
    <vt:lpwstr>isecHeaderDelim[n]t</vt:lpwstr>
  </property>
  <property fmtid="{D5CDD505-2E9C-101B-9397-08002B2CF9AE}" pid="58" name="secLabels">
    <vt:lpwstr>arabic</vt:lpwstr>
  </property>
  <property fmtid="{D5CDD505-2E9C-101B-9397-08002B2CF9AE}" pid="59" name="secPrefix">
    <vt:lpwstr/>
  </property>
  <property fmtid="{D5CDD505-2E9C-101B-9397-08002B2CF9AE}" pid="60" name="secPrefixTemplate">
    <vt:lpwstr>p i</vt:lpwstr>
  </property>
  <property fmtid="{D5CDD505-2E9C-101B-9397-08002B2CF9AE}" pid="61" name="sectionsDepth">
    <vt:lpwstr>0</vt:lpwstr>
  </property>
  <property fmtid="{D5CDD505-2E9C-101B-9397-08002B2CF9AE}" pid="62" name="subfigGrid">
    <vt:lpwstr>False</vt:lpwstr>
  </property>
  <property fmtid="{D5CDD505-2E9C-101B-9397-08002B2CF9AE}" pid="63" name="subfigLabels">
    <vt:lpwstr>alpha a</vt:lpwstr>
  </property>
  <property fmtid="{D5CDD505-2E9C-101B-9397-08002B2CF9AE}" pid="64" name="subfigureChildTemplate">
    <vt:lpwstr>i</vt:lpwstr>
  </property>
  <property fmtid="{D5CDD505-2E9C-101B-9397-08002B2CF9AE}" pid="65" name="subfigureRefIndexTemplate">
    <vt:lpwstr>isuf (s)</vt:lpwstr>
  </property>
  <property fmtid="{D5CDD505-2E9C-101B-9397-08002B2CF9AE}" pid="66" name="subfigureTemplate">
    <vt:lpwstr>figureTitle ititleDelim t. ccs</vt:lpwstr>
  </property>
  <property fmtid="{D5CDD505-2E9C-101B-9397-08002B2CF9AE}" pid="67" name="tableEqns">
    <vt:lpwstr>False</vt:lpwstr>
  </property>
  <property fmtid="{D5CDD505-2E9C-101B-9397-08002B2CF9AE}" pid="68" name="tableTemplate">
    <vt:lpwstr>tableTitle ititleDelim t</vt:lpwstr>
  </property>
  <property fmtid="{D5CDD505-2E9C-101B-9397-08002B2CF9AE}" pid="69" name="tableTitle">
    <vt:lpwstr>Table</vt:lpwstr>
  </property>
  <property fmtid="{D5CDD505-2E9C-101B-9397-08002B2CF9AE}" pid="70" name="tblLabels">
    <vt:lpwstr>arabic</vt:lpwstr>
  </property>
  <property fmtid="{D5CDD505-2E9C-101B-9397-08002B2CF9AE}" pid="71" name="tblPrefix">
    <vt:lpwstr/>
  </property>
  <property fmtid="{D5CDD505-2E9C-101B-9397-08002B2CF9AE}" pid="72" name="tblPrefixTemplate">
    <vt:lpwstr>p i</vt:lpwstr>
  </property>
  <property fmtid="{D5CDD505-2E9C-101B-9397-08002B2CF9AE}" pid="73" name="titleDelim">
    <vt:lpwstr>:</vt:lpwstr>
  </property>
</Properties>
</file>