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ED" w:rsidRDefault="005F0EED" w:rsidP="005F0EED">
      <w:pPr>
        <w:spacing w:before="240" w:after="120"/>
        <w:rPr>
          <w:rFonts w:ascii="Corbel" w:hAnsi="Corbel"/>
          <w:b/>
          <w:sz w:val="28"/>
          <w:szCs w:val="28"/>
        </w:rPr>
      </w:pPr>
      <w:r w:rsidRPr="005F0EED">
        <w:rPr>
          <w:rFonts w:ascii="Corbel" w:hAnsi="Corbel"/>
          <w:b/>
          <w:sz w:val="28"/>
          <w:szCs w:val="28"/>
        </w:rPr>
        <w:t>TEC0094 - AGILE COACHING E MENTORING</w:t>
      </w:r>
    </w:p>
    <w:p w:rsidR="00603998" w:rsidRDefault="00606F8F" w:rsidP="005F0EED">
      <w:pPr>
        <w:pStyle w:val="NormalWeb"/>
        <w:spacing w:before="240" w:beforeAutospacing="0" w:after="120" w:afterAutospacing="0"/>
        <w:jc w:val="both"/>
        <w:rPr>
          <w:rFonts w:ascii="Corbel" w:hAnsi="Corbel" w:cs="Arial"/>
          <w:color w:val="000000"/>
          <w:sz w:val="28"/>
          <w:szCs w:val="28"/>
        </w:rPr>
      </w:pPr>
      <w:r w:rsidRPr="005F0EED">
        <w:rPr>
          <w:rFonts w:ascii="Corbel" w:hAnsi="Corbel" w:cs="Arial"/>
          <w:b/>
          <w:color w:val="000000"/>
          <w:sz w:val="28"/>
          <w:szCs w:val="28"/>
        </w:rPr>
        <w:t>Nomes</w:t>
      </w:r>
      <w:r>
        <w:rPr>
          <w:rFonts w:ascii="Corbel" w:hAnsi="Corbel" w:cs="Arial"/>
          <w:color w:val="000000"/>
          <w:sz w:val="28"/>
          <w:szCs w:val="28"/>
        </w:rPr>
        <w:t xml:space="preserve">: </w:t>
      </w:r>
      <w:r w:rsidR="00B65D56" w:rsidRPr="00B65D56">
        <w:rPr>
          <w:rFonts w:ascii="Corbel" w:hAnsi="Corbel" w:cs="Arial"/>
          <w:color w:val="000000"/>
          <w:sz w:val="28"/>
          <w:szCs w:val="28"/>
        </w:rPr>
        <w:t>Al</w:t>
      </w:r>
      <w:r w:rsidR="00B65D56">
        <w:rPr>
          <w:rFonts w:ascii="Corbel" w:hAnsi="Corbel" w:cs="Arial"/>
          <w:color w:val="000000"/>
          <w:sz w:val="28"/>
          <w:szCs w:val="28"/>
        </w:rPr>
        <w:t>é</w:t>
      </w:r>
      <w:r w:rsidR="00B65D56" w:rsidRPr="00B65D56">
        <w:rPr>
          <w:rFonts w:ascii="Corbel" w:hAnsi="Corbel" w:cs="Arial"/>
          <w:color w:val="000000"/>
          <w:sz w:val="28"/>
          <w:szCs w:val="28"/>
        </w:rPr>
        <w:t>cio Dalpra</w:t>
      </w:r>
      <w:r w:rsidR="00B65D56">
        <w:rPr>
          <w:rFonts w:ascii="Corbel" w:hAnsi="Corbel" w:cs="Arial"/>
          <w:color w:val="000000"/>
          <w:sz w:val="28"/>
          <w:szCs w:val="28"/>
        </w:rPr>
        <w:t xml:space="preserve"> e Fábio Castilhos</w:t>
      </w:r>
    </w:p>
    <w:p w:rsidR="005F0EED" w:rsidRPr="00B65D56" w:rsidRDefault="005F0EED" w:rsidP="005F0EED">
      <w:pPr>
        <w:spacing w:before="240" w:after="120"/>
        <w:rPr>
          <w:rFonts w:ascii="Corbel" w:hAnsi="Corbel"/>
          <w:b/>
          <w:sz w:val="28"/>
          <w:szCs w:val="28"/>
        </w:rPr>
      </w:pPr>
      <w:r w:rsidRPr="00B65D56">
        <w:rPr>
          <w:rFonts w:ascii="Corbel" w:hAnsi="Corbel"/>
          <w:b/>
          <w:sz w:val="28"/>
          <w:szCs w:val="28"/>
        </w:rPr>
        <w:t>Situação da entrega de software no Banco Cooperativo Sicredi: Uma Análise do Ambiente</w:t>
      </w:r>
    </w:p>
    <w:p w:rsidR="00603998" w:rsidRPr="00606F8F" w:rsidRDefault="00603998" w:rsidP="005F0EED">
      <w:pPr>
        <w:pStyle w:val="NormalWeb"/>
        <w:spacing w:before="120" w:beforeAutospacing="0" w:after="120" w:afterAutospacing="0"/>
        <w:jc w:val="both"/>
        <w:rPr>
          <w:rFonts w:ascii="Corbel" w:hAnsi="Corbel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Durante anos predominou no Sicredi o modelo cascata de desenvolvimento de software. De forma resumida, as etapas consistiam em: 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Área de negócio desenvolvia um documento com a necessidade (especificação de negócio); 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Área de sistemas entendia a necessidade e elaborava um novo documento com mais detalhes (documento de visão) e encaminhava a um dos fornecedores; 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O fornecedor analisava, avaliava os impactos e estimava a demanda; 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>A estimativa era enviada ao Sicredi para aprovação;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>Uma vez aprovada, o fornecedor elaborava a documentação de requisitos, desenvolvia, testava e entregava o escopo para homologação;</w:t>
      </w:r>
    </w:p>
    <w:p w:rsidR="00603998" w:rsidRPr="00606F8F" w:rsidRDefault="00603998" w:rsidP="005F0E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textAlignment w:val="baseline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>Por fim a área de sistemas recebia “a solução” para validação em homologação e instalação em produção.</w:t>
      </w:r>
    </w:p>
    <w:p w:rsidR="001D2E8E" w:rsidRPr="00606F8F" w:rsidRDefault="00603998" w:rsidP="005F0EED">
      <w:pPr>
        <w:pStyle w:val="NormalWeb"/>
        <w:spacing w:before="120" w:beforeAutospacing="0" w:after="120" w:afterAutospacing="0"/>
        <w:jc w:val="both"/>
        <w:rPr>
          <w:rFonts w:ascii="Corbel" w:hAnsi="Corbel" w:cs="Arial"/>
          <w:iCs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O ciclo descrito acima era extremamente burocrático, custoso e demorado, onde qualquer demanda, por menor que fosse, tinha um </w:t>
      </w:r>
      <w:r w:rsidRPr="00606F8F">
        <w:rPr>
          <w:rFonts w:ascii="Corbel" w:hAnsi="Corbel" w:cs="Arial"/>
          <w:i/>
          <w:iCs/>
          <w:color w:val="000000"/>
          <w:sz w:val="28"/>
          <w:szCs w:val="28"/>
        </w:rPr>
        <w:t>lead time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mínimo de 3 a 4 meses para entrega em produção. Atrelado a este ciclo se tem um processo robusto de gerenciamento de projetos</w:t>
      </w:r>
      <w:r w:rsidR="001D2E8E" w:rsidRPr="00606F8F">
        <w:rPr>
          <w:rFonts w:ascii="Corbel" w:hAnsi="Corbel" w:cs="Arial"/>
          <w:color w:val="000000"/>
          <w:sz w:val="28"/>
          <w:szCs w:val="28"/>
        </w:rPr>
        <w:t>,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fortemente baseado nas áreas de conhecimento, p</w:t>
      </w:r>
      <w:r w:rsidR="001D2E8E" w:rsidRPr="00606F8F">
        <w:rPr>
          <w:rFonts w:ascii="Corbel" w:hAnsi="Corbel" w:cs="Arial"/>
          <w:color w:val="000000"/>
          <w:sz w:val="28"/>
          <w:szCs w:val="28"/>
        </w:rPr>
        <w:t>ráticas e entregáveis do PMBOK, onde q</w:t>
      </w:r>
      <w:r w:rsidRPr="00606F8F">
        <w:rPr>
          <w:rFonts w:ascii="Corbel" w:hAnsi="Corbel" w:cs="Arial"/>
          <w:color w:val="000000"/>
          <w:sz w:val="28"/>
          <w:szCs w:val="28"/>
        </w:rPr>
        <w:t>ualquer ajuste de percurso ou</w:t>
      </w:r>
      <w:r w:rsidR="001D2E8E" w:rsidRPr="00606F8F">
        <w:rPr>
          <w:rFonts w:ascii="Corbel" w:hAnsi="Corbel" w:cs="Arial"/>
          <w:color w:val="000000"/>
          <w:sz w:val="28"/>
          <w:szCs w:val="28"/>
        </w:rPr>
        <w:t xml:space="preserve"> de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ponto não mapeado no início do projeto é tratado como </w:t>
      </w:r>
      <w:r w:rsidRPr="00606F8F">
        <w:rPr>
          <w:rFonts w:ascii="Corbel" w:hAnsi="Corbel" w:cs="Arial"/>
          <w:i/>
          <w:iCs/>
          <w:color w:val="000000"/>
          <w:sz w:val="28"/>
          <w:szCs w:val="28"/>
        </w:rPr>
        <w:t>change request</w:t>
      </w:r>
      <w:r w:rsidR="001D2E8E" w:rsidRPr="00606F8F">
        <w:rPr>
          <w:rFonts w:ascii="Corbel" w:hAnsi="Corbel" w:cs="Arial"/>
          <w:iCs/>
          <w:color w:val="000000"/>
          <w:sz w:val="28"/>
          <w:szCs w:val="28"/>
        </w:rPr>
        <w:t xml:space="preserve">, gerando assim um novo ciclo de </w:t>
      </w:r>
      <w:r w:rsidR="001D2E8E" w:rsidRPr="00606F8F">
        <w:rPr>
          <w:rFonts w:ascii="Corbel" w:hAnsi="Corbel" w:cs="Arial"/>
          <w:color w:val="000000"/>
          <w:sz w:val="28"/>
          <w:szCs w:val="28"/>
        </w:rPr>
        <w:t>documentação, aprovação, estendendo assim a entrega por mais alguns meses.</w:t>
      </w:r>
    </w:p>
    <w:p w:rsidR="00603998" w:rsidRPr="00606F8F" w:rsidRDefault="001D2E8E" w:rsidP="005F0EED">
      <w:pPr>
        <w:pStyle w:val="NormalWeb"/>
        <w:spacing w:before="120" w:beforeAutospacing="0" w:after="120" w:afterAutospacing="0"/>
        <w:jc w:val="both"/>
        <w:rPr>
          <w:rFonts w:ascii="Corbel" w:hAnsi="Corbel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>Para corroborar, o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</w:t>
      </w:r>
      <w:r w:rsidR="00603998" w:rsidRPr="00606F8F">
        <w:rPr>
          <w:rFonts w:ascii="Corbel" w:hAnsi="Corbel" w:cs="Arial"/>
          <w:i/>
          <w:iCs/>
          <w:color w:val="000000"/>
          <w:sz w:val="28"/>
          <w:szCs w:val="28"/>
        </w:rPr>
        <w:t>delivery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em produção </w:t>
      </w:r>
      <w:r w:rsidRPr="00606F8F">
        <w:rPr>
          <w:rFonts w:ascii="Corbel" w:hAnsi="Corbel" w:cs="Arial"/>
          <w:color w:val="000000"/>
          <w:sz w:val="28"/>
          <w:szCs w:val="28"/>
        </w:rPr>
        <w:t>é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um processo pautado pelas boas práticas do ITIL e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é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bastante (</w:t>
      </w:r>
      <w:r w:rsidRPr="00606F8F">
        <w:rPr>
          <w:rFonts w:ascii="Corbel" w:hAnsi="Corbel" w:cs="Arial"/>
          <w:color w:val="000000"/>
          <w:sz w:val="28"/>
          <w:szCs w:val="28"/>
        </w:rPr>
        <w:t>para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não dizer excessivamente) amarrado e burocrático. </w:t>
      </w:r>
      <w:r w:rsidRPr="00606F8F">
        <w:rPr>
          <w:rFonts w:ascii="Corbel" w:hAnsi="Corbel" w:cs="Arial"/>
          <w:color w:val="000000"/>
          <w:sz w:val="28"/>
          <w:szCs w:val="28"/>
        </w:rPr>
        <w:t>Seguimos um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calendário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de mudanças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rígido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que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determina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as datas de instalação e qualquer alteração, principalmente para liberações d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e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>sistemas críticos (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Core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Bancário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>)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, deve</w:t>
      </w:r>
      <w:r w:rsidRPr="00606F8F">
        <w:rPr>
          <w:rFonts w:ascii="Corbel" w:hAnsi="Corbel" w:cs="Arial"/>
          <w:color w:val="000000"/>
          <w:sz w:val="28"/>
          <w:szCs w:val="28"/>
        </w:rPr>
        <w:t>mos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previamente ser autorizado em nível de Superintendência.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Um dos pontos que dificultava a frequência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lastRenderedPageBreak/>
        <w:t>de instalações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 é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 xml:space="preserve"> o próprio processo em si,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pois ele ainda é </w:t>
      </w:r>
      <w:r w:rsidR="00603998" w:rsidRPr="00606F8F">
        <w:rPr>
          <w:rFonts w:ascii="Corbel" w:hAnsi="Corbel" w:cs="Arial"/>
          <w:color w:val="000000"/>
          <w:sz w:val="28"/>
          <w:szCs w:val="28"/>
        </w:rPr>
        <w:t>totalmente manual.</w:t>
      </w:r>
    </w:p>
    <w:p w:rsidR="00603998" w:rsidRPr="00606F8F" w:rsidRDefault="00603998" w:rsidP="005F0EED">
      <w:pPr>
        <w:pStyle w:val="NormalWeb"/>
        <w:spacing w:before="120" w:beforeAutospacing="0" w:after="120" w:afterAutospacing="0"/>
        <w:jc w:val="both"/>
        <w:rPr>
          <w:rFonts w:ascii="Corbel" w:hAnsi="Corbel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>Recentemente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, a mais ou menos dois </w:t>
      </w:r>
      <w:r w:rsidRPr="00606F8F">
        <w:rPr>
          <w:rFonts w:ascii="Corbel" w:hAnsi="Corbel" w:cs="Arial"/>
          <w:color w:val="000000"/>
          <w:sz w:val="28"/>
          <w:szCs w:val="28"/>
        </w:rPr>
        <w:t>anos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, iniciou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um movimento de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>transformação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no modelo de desenvolvimento e a constituição de algumas equipes ágeis. Os times são compostos por colaboradores do Sicredi (das áreas de sistemas e do negócio) e também dos fornecedores responsáveis pelos respectivos sistemas.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A proximidade de todos os envolvidos trouxe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maior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fluidez na comunicação e clareza no trabalho que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de fato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precisa ser 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>realizado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. </w:t>
      </w:r>
    </w:p>
    <w:p w:rsidR="00603998" w:rsidRPr="00606F8F" w:rsidRDefault="00603998" w:rsidP="005F0EED">
      <w:pPr>
        <w:pStyle w:val="NormalWeb"/>
        <w:spacing w:before="120" w:beforeAutospacing="0" w:after="120" w:afterAutospacing="0"/>
        <w:jc w:val="both"/>
        <w:rPr>
          <w:rFonts w:ascii="Corbel" w:hAnsi="Corbel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Além das mudanças </w:t>
      </w:r>
      <w:r w:rsidR="00B65D56">
        <w:rPr>
          <w:rFonts w:ascii="Corbel" w:hAnsi="Corbel" w:cs="Arial"/>
          <w:color w:val="000000"/>
          <w:sz w:val="28"/>
          <w:szCs w:val="28"/>
        </w:rPr>
        <w:t>n</w:t>
      </w:r>
      <w:r w:rsidRPr="00606F8F">
        <w:rPr>
          <w:rFonts w:ascii="Corbel" w:hAnsi="Corbel" w:cs="Arial"/>
          <w:color w:val="000000"/>
          <w:sz w:val="28"/>
          <w:szCs w:val="28"/>
        </w:rPr>
        <w:t>os times, também foram realizadas inúmeras alterações no processo de liberações automatizando muitos processos. Ainda há um calendário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 de mudanças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referência para sistemas críticos</w:t>
      </w:r>
      <w:r w:rsidR="00606F8F" w:rsidRPr="00606F8F">
        <w:rPr>
          <w:rFonts w:ascii="Corbel" w:hAnsi="Corbel" w:cs="Arial"/>
          <w:color w:val="000000"/>
          <w:sz w:val="28"/>
          <w:szCs w:val="28"/>
        </w:rPr>
        <w:t xml:space="preserve"> (Core Bancário)</w:t>
      </w:r>
      <w:r w:rsidRPr="00606F8F">
        <w:rPr>
          <w:rFonts w:ascii="Corbel" w:hAnsi="Corbel" w:cs="Arial"/>
          <w:color w:val="000000"/>
          <w:sz w:val="28"/>
          <w:szCs w:val="28"/>
        </w:rPr>
        <w:t>, no entanto, tem-se a possibilidade de instalar outros sistemas em dias definidos previamente bastando apenas um alinhamento com a equipe de Gestão de Mudanças.</w:t>
      </w:r>
    </w:p>
    <w:p w:rsidR="00D15BE6" w:rsidRDefault="00603998" w:rsidP="005F0EED">
      <w:pPr>
        <w:pStyle w:val="NormalWeb"/>
        <w:spacing w:before="120" w:beforeAutospacing="0" w:after="120" w:afterAutospacing="0"/>
        <w:jc w:val="both"/>
        <w:rPr>
          <w:rFonts w:ascii="Corbel" w:hAnsi="Corbel" w:cs="Arial"/>
          <w:color w:val="000000"/>
          <w:sz w:val="28"/>
          <w:szCs w:val="28"/>
        </w:rPr>
      </w:pPr>
      <w:r w:rsidRPr="00606F8F">
        <w:rPr>
          <w:rFonts w:ascii="Corbel" w:hAnsi="Corbel" w:cs="Arial"/>
          <w:color w:val="000000"/>
          <w:sz w:val="28"/>
          <w:szCs w:val="28"/>
        </w:rPr>
        <w:t xml:space="preserve">O ambiente extremamente burocrático e político do Sicredi ainda oferece uma série de pontos </w:t>
      </w:r>
      <w:r w:rsidR="00B65D56">
        <w:rPr>
          <w:rFonts w:ascii="Corbel" w:hAnsi="Corbel" w:cs="Arial"/>
          <w:color w:val="000000"/>
          <w:sz w:val="28"/>
          <w:szCs w:val="28"/>
        </w:rPr>
        <w:t>a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melhorar e desafios para manter todas as equipes alinhadas na mesma direção. O principal ponto </w:t>
      </w:r>
      <w:r w:rsidR="00B65D56">
        <w:rPr>
          <w:rFonts w:ascii="Corbel" w:hAnsi="Corbel" w:cs="Arial"/>
          <w:color w:val="000000"/>
          <w:sz w:val="28"/>
          <w:szCs w:val="28"/>
        </w:rPr>
        <w:t>a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evoluir é a questão da priorização </w:t>
      </w:r>
      <w:r w:rsidR="00B65D56">
        <w:rPr>
          <w:rFonts w:ascii="Corbel" w:hAnsi="Corbel" w:cs="Arial"/>
          <w:color w:val="000000"/>
          <w:sz w:val="28"/>
          <w:szCs w:val="28"/>
        </w:rPr>
        <w:t>em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níve</w:t>
      </w:r>
      <w:r w:rsidR="00B65D56">
        <w:rPr>
          <w:rFonts w:ascii="Corbel" w:hAnsi="Corbel" w:cs="Arial"/>
          <w:color w:val="000000"/>
          <w:sz w:val="28"/>
          <w:szCs w:val="28"/>
        </w:rPr>
        <w:t>is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acima dos times. Em muitos casos o que é prioridade </w:t>
      </w:r>
      <w:r w:rsidR="00B65D56">
        <w:rPr>
          <w:rFonts w:ascii="Corbel" w:hAnsi="Corbel" w:cs="Arial"/>
          <w:color w:val="000000"/>
          <w:sz w:val="28"/>
          <w:szCs w:val="28"/>
        </w:rPr>
        <w:t>para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um time não é </w:t>
      </w:r>
      <w:r w:rsidR="00B65D56">
        <w:rPr>
          <w:rFonts w:ascii="Corbel" w:hAnsi="Corbel" w:cs="Arial"/>
          <w:color w:val="000000"/>
          <w:sz w:val="28"/>
          <w:szCs w:val="28"/>
        </w:rPr>
        <w:t>para o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 outro, porém há </w:t>
      </w:r>
      <w:r w:rsidR="00B65D56">
        <w:rPr>
          <w:rFonts w:ascii="Corbel" w:hAnsi="Corbel" w:cs="Arial"/>
          <w:color w:val="000000"/>
          <w:sz w:val="28"/>
          <w:szCs w:val="28"/>
        </w:rPr>
        <w:t xml:space="preserve">uma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dependência </w:t>
      </w:r>
      <w:r w:rsidR="00B65D56">
        <w:rPr>
          <w:rFonts w:ascii="Corbel" w:hAnsi="Corbel" w:cs="Arial"/>
          <w:color w:val="000000"/>
          <w:sz w:val="28"/>
          <w:szCs w:val="28"/>
        </w:rPr>
        <w:t xml:space="preserve">direta </w:t>
      </w:r>
      <w:r w:rsidRPr="00606F8F">
        <w:rPr>
          <w:rFonts w:ascii="Corbel" w:hAnsi="Corbel" w:cs="Arial"/>
          <w:color w:val="000000"/>
          <w:sz w:val="28"/>
          <w:szCs w:val="28"/>
        </w:rPr>
        <w:t>entre eles.</w:t>
      </w:r>
      <w:r w:rsidR="00B65D56">
        <w:rPr>
          <w:rFonts w:ascii="Corbel" w:hAnsi="Corbel" w:cs="Arial"/>
          <w:color w:val="000000"/>
          <w:sz w:val="28"/>
          <w:szCs w:val="28"/>
        </w:rPr>
        <w:t xml:space="preserve"> </w:t>
      </w:r>
      <w:r w:rsidRPr="00606F8F">
        <w:rPr>
          <w:rFonts w:ascii="Corbel" w:hAnsi="Corbel" w:cs="Arial"/>
          <w:color w:val="000000"/>
          <w:sz w:val="28"/>
          <w:szCs w:val="28"/>
        </w:rPr>
        <w:t xml:space="preserve">Por hora, os times seguem “se entendendo” e, na maioria das vezes, encaixando suas demandas mediante alinhamento entre os </w:t>
      </w:r>
      <w:r w:rsidR="00B65D56">
        <w:rPr>
          <w:rFonts w:ascii="Corbel" w:hAnsi="Corbel" w:cs="Arial"/>
          <w:color w:val="000000"/>
          <w:sz w:val="28"/>
          <w:szCs w:val="28"/>
        </w:rPr>
        <w:t>POs e gestores</w:t>
      </w:r>
      <w:r w:rsidRPr="00606F8F">
        <w:rPr>
          <w:rFonts w:ascii="Corbel" w:hAnsi="Corbel" w:cs="Arial"/>
          <w:color w:val="000000"/>
          <w:sz w:val="28"/>
          <w:szCs w:val="28"/>
        </w:rPr>
        <w:t>.</w:t>
      </w:r>
      <w:bookmarkStart w:id="0" w:name="_GoBack"/>
      <w:bookmarkEnd w:id="0"/>
    </w:p>
    <w:sectPr w:rsidR="00D15BE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DB9" w:rsidRDefault="00B44DB9" w:rsidP="00063BB9">
      <w:r>
        <w:separator/>
      </w:r>
    </w:p>
  </w:endnote>
  <w:endnote w:type="continuationSeparator" w:id="0">
    <w:p w:rsidR="00B44DB9" w:rsidRDefault="00B44DB9" w:rsidP="00063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BB9" w:rsidRDefault="00063BB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0104722b95a1ad494cbf738" descr="{&quot;HashCode&quot;:89131373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63BB9" w:rsidRPr="00063BB9" w:rsidRDefault="00063BB9" w:rsidP="00063BB9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063BB9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104722b95a1ad494cbf738" o:spid="_x0000_s1026" type="#_x0000_t202" alt="{&quot;HashCode&quot;:89131373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" o:allowincell="f" filled="f" stroked="f" strokeweight=".5pt">
              <v:textbox inset=",0,,0">
                <w:txbxContent>
                  <w:p w:rsidR="00063BB9" w:rsidRPr="00063BB9" w:rsidRDefault="00063BB9" w:rsidP="00063BB9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063BB9">
                      <w:rPr>
                        <w:rFonts w:ascii="Calibri" w:hAnsi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DB9" w:rsidRDefault="00B44DB9" w:rsidP="00063BB9">
      <w:r>
        <w:separator/>
      </w:r>
    </w:p>
  </w:footnote>
  <w:footnote w:type="continuationSeparator" w:id="0">
    <w:p w:rsidR="00B44DB9" w:rsidRDefault="00B44DB9" w:rsidP="00063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A28"/>
    <w:multiLevelType w:val="hybridMultilevel"/>
    <w:tmpl w:val="0A026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04169"/>
    <w:multiLevelType w:val="multilevel"/>
    <w:tmpl w:val="5092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1494D"/>
    <w:multiLevelType w:val="hybridMultilevel"/>
    <w:tmpl w:val="C6C4D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9624D"/>
    <w:multiLevelType w:val="hybridMultilevel"/>
    <w:tmpl w:val="7EF26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C7C59"/>
    <w:multiLevelType w:val="hybridMultilevel"/>
    <w:tmpl w:val="6B8EB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98"/>
    <w:rsid w:val="00063BB9"/>
    <w:rsid w:val="001D2E8E"/>
    <w:rsid w:val="00312400"/>
    <w:rsid w:val="004078E1"/>
    <w:rsid w:val="00510437"/>
    <w:rsid w:val="00510E46"/>
    <w:rsid w:val="005F0EED"/>
    <w:rsid w:val="00603998"/>
    <w:rsid w:val="00606F8F"/>
    <w:rsid w:val="00751DBA"/>
    <w:rsid w:val="00B44DB9"/>
    <w:rsid w:val="00B53AB1"/>
    <w:rsid w:val="00B65D56"/>
    <w:rsid w:val="00C50489"/>
    <w:rsid w:val="00C852B9"/>
    <w:rsid w:val="00D15BE6"/>
    <w:rsid w:val="00DA0D88"/>
    <w:rsid w:val="00F7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808F4A31-E9D3-4150-ABC1-00D0065A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3998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124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0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04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link w:val="Ttulo4Char"/>
    <w:uiPriority w:val="9"/>
    <w:qFormat/>
    <w:rsid w:val="00C50489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3998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063B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3BB9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63B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3BB9"/>
    <w:rPr>
      <w:rFonts w:ascii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852B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C852B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5048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0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04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styleId="Forte">
    <w:name w:val="Strong"/>
    <w:basedOn w:val="Fontepargpadro"/>
    <w:uiPriority w:val="22"/>
    <w:qFormat/>
    <w:rsid w:val="00510E4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1240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da Luz Castilhos</dc:creator>
  <cp:keywords/>
  <dc:description/>
  <cp:lastModifiedBy>Fabio da Luz Castilhos</cp:lastModifiedBy>
  <cp:revision>2</cp:revision>
  <dcterms:created xsi:type="dcterms:W3CDTF">2017-10-27T11:40:00Z</dcterms:created>
  <dcterms:modified xsi:type="dcterms:W3CDTF">2017-10-27T11:40:00Z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iteId">
    <vt:lpwstr>3223964c-6e1f-48ba-b705-423351281a8c</vt:lpwstr>
  </property>
  <property fmtid="{D5CDD505-2E9C-101B-9397-08002B2CF9AE}" pid="4" name="MSIP_Label_99deea41-824f-4c3c-afd5-7afdfc16eee8_Ref">
    <vt:lpwstr>https://api.informationprotection.azure.com/api/3223964c-6e1f-48ba-b705-423351281a8c</vt:lpwstr>
  </property>
  <property fmtid="{D5CDD505-2E9C-101B-9397-08002B2CF9AE}" pid="5" name="MSIP_Label_99deea41-824f-4c3c-afd5-7afdfc16eee8_SetBy">
    <vt:lpwstr>fabio_castilhos@sicredi.com.br</vt:lpwstr>
  </property>
  <property fmtid="{D5CDD505-2E9C-101B-9397-08002B2CF9AE}" pid="6" name="MSIP_Label_99deea41-824f-4c3c-afd5-7afdfc16eee8_SetDate">
    <vt:lpwstr>2017-10-06T12:15:05.2670206-03:00</vt:lpwstr>
  </property>
  <property fmtid="{D5CDD505-2E9C-101B-9397-08002B2CF9AE}" pid="7" name="MSIP_Label_99deea41-824f-4c3c-afd5-7afdfc16eee8_Name">
    <vt:lpwstr>Uso Interno</vt:lpwstr>
  </property>
  <property fmtid="{D5CDD505-2E9C-101B-9397-08002B2CF9AE}" pid="8" name="MSIP_Label_99deea41-824f-4c3c-afd5-7afdfc16eee8_Application">
    <vt:lpwstr>Microsoft Azure Information Protection</vt:lpwstr>
  </property>
  <property fmtid="{D5CDD505-2E9C-101B-9397-08002B2CF9AE}" pid="9" name="MSIP_Label_99deea41-824f-4c3c-afd5-7afdfc16eee8_Extended_MSFT_Method">
    <vt:lpwstr>Automatic</vt:lpwstr>
  </property>
  <property fmtid="{D5CDD505-2E9C-101B-9397-08002B2CF9AE}" pid="10" name="Sensitivity">
    <vt:lpwstr>Uso Interno</vt:lpwstr>
  </property>
</Properties>
</file>