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21E" w:rsidRDefault="00CD0B8B">
      <w:pPr>
        <w:spacing w:after="40"/>
        <w:jc w:val="center"/>
      </w:pPr>
      <w:r>
        <w:rPr>
          <w:b/>
          <w:sz w:val="30"/>
        </w:rPr>
        <w:t>Project Design Phase-II</w:t>
      </w:r>
    </w:p>
    <w:p w:rsidR="00B1121E" w:rsidRDefault="00CD0B8B">
      <w:pPr>
        <w:spacing w:after="40"/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1121E">
        <w:trPr>
          <w:jc w:val="center"/>
        </w:trPr>
        <w:tc>
          <w:tcPr>
            <w:tcW w:w="5256" w:type="dxa"/>
            <w:vAlign w:val="center"/>
          </w:tcPr>
          <w:p w:rsidR="00B1121E" w:rsidRDefault="00CD0B8B">
            <w:r>
              <w:t>Date</w:t>
            </w:r>
          </w:p>
        </w:tc>
        <w:tc>
          <w:tcPr>
            <w:tcW w:w="5256" w:type="dxa"/>
            <w:vAlign w:val="center"/>
          </w:tcPr>
          <w:p w:rsidR="00B1121E" w:rsidRDefault="00CD0B8B">
            <w:r>
              <w:t>03 October 2026</w:t>
            </w:r>
          </w:p>
        </w:tc>
      </w:tr>
      <w:tr w:rsidR="00B1121E">
        <w:trPr>
          <w:jc w:val="center"/>
        </w:trPr>
        <w:tc>
          <w:tcPr>
            <w:tcW w:w="5256" w:type="dxa"/>
            <w:vAlign w:val="center"/>
          </w:tcPr>
          <w:p w:rsidR="00B1121E" w:rsidRDefault="00CD0B8B">
            <w:r>
              <w:t>Team ID</w:t>
            </w:r>
          </w:p>
        </w:tc>
        <w:tc>
          <w:tcPr>
            <w:tcW w:w="5256" w:type="dxa"/>
            <w:vAlign w:val="center"/>
          </w:tcPr>
          <w:p w:rsidR="00B1121E" w:rsidRDefault="00CD0B8B">
            <w:r w:rsidRPr="00CD0B8B">
              <w:t>SWTID-2026-7282</w:t>
            </w:r>
            <w:bookmarkStart w:id="0" w:name="_GoBack"/>
            <w:bookmarkEnd w:id="0"/>
          </w:p>
        </w:tc>
      </w:tr>
      <w:tr w:rsidR="00B1121E">
        <w:trPr>
          <w:jc w:val="center"/>
        </w:trPr>
        <w:tc>
          <w:tcPr>
            <w:tcW w:w="5256" w:type="dxa"/>
            <w:vAlign w:val="center"/>
          </w:tcPr>
          <w:p w:rsidR="00B1121E" w:rsidRDefault="00CD0B8B">
            <w:r>
              <w:t>Project Name</w:t>
            </w:r>
          </w:p>
        </w:tc>
        <w:tc>
          <w:tcPr>
            <w:tcW w:w="5256" w:type="dxa"/>
            <w:vAlign w:val="center"/>
          </w:tcPr>
          <w:p w:rsidR="00B1121E" w:rsidRDefault="00CD0B8B">
            <w:r>
              <w:t>Implement Client Script &amp; UI Policy (Incident)</w:t>
            </w:r>
          </w:p>
        </w:tc>
      </w:tr>
      <w:tr w:rsidR="00B1121E">
        <w:trPr>
          <w:jc w:val="center"/>
        </w:trPr>
        <w:tc>
          <w:tcPr>
            <w:tcW w:w="5256" w:type="dxa"/>
            <w:vAlign w:val="center"/>
          </w:tcPr>
          <w:p w:rsidR="00B1121E" w:rsidRDefault="00CD0B8B">
            <w:r>
              <w:t>Maximum Marks</w:t>
            </w:r>
          </w:p>
        </w:tc>
        <w:tc>
          <w:tcPr>
            <w:tcW w:w="5256" w:type="dxa"/>
            <w:vAlign w:val="center"/>
          </w:tcPr>
          <w:p w:rsidR="00B1121E" w:rsidRDefault="00CD0B8B">
            <w:r>
              <w:t>4 Marks</w:t>
            </w:r>
          </w:p>
        </w:tc>
      </w:tr>
    </w:tbl>
    <w:p w:rsidR="00B1121E" w:rsidRDefault="00CD0B8B">
      <w:r>
        <w:rPr>
          <w:b/>
          <w:sz w:val="22"/>
        </w:rPr>
        <w:t>Functional Requirements:</w:t>
      </w:r>
    </w:p>
    <w:p w:rsidR="00B1121E" w:rsidRDefault="00CD0B8B">
      <w:r>
        <w:t xml:space="preserve">Following are </w:t>
      </w:r>
      <w:r>
        <w:t>the 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B1121E">
        <w:trPr>
          <w:jc w:val="center"/>
        </w:trPr>
        <w:tc>
          <w:tcPr>
            <w:tcW w:w="3504" w:type="dxa"/>
          </w:tcPr>
          <w:p w:rsidR="00B1121E" w:rsidRDefault="00CD0B8B">
            <w:r>
              <w:rPr>
                <w:b/>
                <w:sz w:val="15"/>
              </w:rPr>
              <w:t>FR No.</w:t>
            </w:r>
          </w:p>
        </w:tc>
        <w:tc>
          <w:tcPr>
            <w:tcW w:w="3504" w:type="dxa"/>
          </w:tcPr>
          <w:p w:rsidR="00B1121E" w:rsidRDefault="00CD0B8B"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w="3504" w:type="dxa"/>
          </w:tcPr>
          <w:p w:rsidR="00B1121E" w:rsidRDefault="00CD0B8B">
            <w:r>
              <w:rPr>
                <w:b/>
                <w:sz w:val="15"/>
              </w:rPr>
              <w:t>Sub Requirement (Story / Sub-Task)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CD0B8B">
            <w:pPr>
              <w:jc w:val="center"/>
            </w:pPr>
            <w:r>
              <w:rPr>
                <w:sz w:val="14"/>
              </w:rPr>
              <w:t>FR-1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Dynamic Incident Form Behaviour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Client Script responds to user actions on the Incident form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B1121E">
            <w:pPr>
              <w:jc w:val="center"/>
            </w:pPr>
          </w:p>
        </w:tc>
        <w:tc>
          <w:tcPr>
            <w:tcW w:w="3504" w:type="dxa"/>
            <w:vAlign w:val="center"/>
          </w:tcPr>
          <w:p w:rsidR="00B1121E" w:rsidRDefault="00B1121E"/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 xml:space="preserve">Fields can be controlled </w:t>
            </w:r>
            <w:r>
              <w:rPr>
                <w:sz w:val="14"/>
              </w:rPr>
              <w:t>dynamically without submitting the form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CD0B8B">
            <w:pPr>
              <w:jc w:val="center"/>
            </w:pPr>
            <w:r>
              <w:rPr>
                <w:sz w:val="14"/>
              </w:rPr>
              <w:t>FR-2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Field Behaviour Enforcement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UI Policy controls field visibility, mandatory state, or read-only behaviour based on Incident conditions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B1121E">
            <w:pPr>
              <w:jc w:val="center"/>
            </w:pPr>
          </w:p>
        </w:tc>
        <w:tc>
          <w:tcPr>
            <w:tcW w:w="3504" w:type="dxa"/>
            <w:vAlign w:val="center"/>
          </w:tcPr>
          <w:p w:rsidR="00B1121E" w:rsidRDefault="00B1121E"/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Reduce incorrect or unsuitable data entry through conditional field behav</w:t>
            </w:r>
            <w:r>
              <w:rPr>
                <w:sz w:val="14"/>
              </w:rPr>
              <w:t>iour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CD0B8B">
            <w:pPr>
              <w:jc w:val="center"/>
            </w:pPr>
            <w:r>
              <w:rPr>
                <w:sz w:val="14"/>
              </w:rPr>
              <w:t>FR-3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Immediate Form Response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The Incident form reflects configured field changes immediately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B1121E">
            <w:pPr>
              <w:jc w:val="center"/>
            </w:pPr>
          </w:p>
        </w:tc>
        <w:tc>
          <w:tcPr>
            <w:tcW w:w="3504" w:type="dxa"/>
            <w:vAlign w:val="center"/>
          </w:tcPr>
          <w:p w:rsidR="00B1121E" w:rsidRDefault="00B1121E"/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Provide a clearer and more efficient user experience while entering incident details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CD0B8B">
            <w:pPr>
              <w:jc w:val="center"/>
            </w:pPr>
            <w:r>
              <w:rPr>
                <w:sz w:val="14"/>
              </w:rPr>
              <w:t>FR-4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Incident Data Entry Guidance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 xml:space="preserve">Use dynamic controls to guide </w:t>
            </w:r>
            <w:r>
              <w:rPr>
                <w:sz w:val="14"/>
              </w:rPr>
              <w:t>users toward appropriate Incident field values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B1121E">
            <w:pPr>
              <w:jc w:val="center"/>
            </w:pPr>
          </w:p>
        </w:tc>
        <w:tc>
          <w:tcPr>
            <w:tcW w:w="3504" w:type="dxa"/>
            <w:vAlign w:val="center"/>
          </w:tcPr>
          <w:p w:rsidR="00B1121E" w:rsidRDefault="00B1121E"/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Improve consistency and reduce avoidable data-entry errors</w:t>
            </w:r>
          </w:p>
        </w:tc>
      </w:tr>
    </w:tbl>
    <w:p w:rsidR="00B1121E" w:rsidRDefault="00CD0B8B">
      <w:r>
        <w:rPr>
          <w:b/>
          <w:sz w:val="22"/>
        </w:rPr>
        <w:t>Non-functional Requirements:</w:t>
      </w:r>
    </w:p>
    <w:p w:rsidR="00B1121E" w:rsidRDefault="00CD0B8B"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B1121E">
        <w:trPr>
          <w:jc w:val="center"/>
        </w:trPr>
        <w:tc>
          <w:tcPr>
            <w:tcW w:w="3504" w:type="dxa"/>
          </w:tcPr>
          <w:p w:rsidR="00B1121E" w:rsidRDefault="00CD0B8B">
            <w:r>
              <w:rPr>
                <w:b/>
                <w:sz w:val="15"/>
              </w:rPr>
              <w:t>FR No.</w:t>
            </w:r>
          </w:p>
        </w:tc>
        <w:tc>
          <w:tcPr>
            <w:tcW w:w="3504" w:type="dxa"/>
          </w:tcPr>
          <w:p w:rsidR="00B1121E" w:rsidRDefault="00CD0B8B">
            <w:r>
              <w:rPr>
                <w:b/>
                <w:sz w:val="15"/>
              </w:rPr>
              <w:t>Non-Functional Requirement</w:t>
            </w:r>
          </w:p>
        </w:tc>
        <w:tc>
          <w:tcPr>
            <w:tcW w:w="3504" w:type="dxa"/>
          </w:tcPr>
          <w:p w:rsidR="00B1121E" w:rsidRDefault="00CD0B8B">
            <w:r>
              <w:rPr>
                <w:b/>
                <w:sz w:val="15"/>
              </w:rPr>
              <w:t>Description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CD0B8B">
            <w:pPr>
              <w:jc w:val="center"/>
            </w:pPr>
            <w:r>
              <w:rPr>
                <w:sz w:val="14"/>
              </w:rPr>
              <w:t>NFR-1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Usability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The Incident form should be clear and easy to use, with dynamic field behaviour that guides the user.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CD0B8B">
            <w:pPr>
              <w:jc w:val="center"/>
            </w:pPr>
            <w:r>
              <w:rPr>
                <w:sz w:val="14"/>
              </w:rPr>
              <w:t>NFR-2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Security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The solution should operate within the configured ServiceNow Incident form and its access controls.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CD0B8B">
            <w:pPr>
              <w:jc w:val="center"/>
            </w:pPr>
            <w:r>
              <w:rPr>
                <w:sz w:val="14"/>
              </w:rPr>
              <w:t>NFR-3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Reliability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Configured Client Scripts and UI Policies should consistently apply the intended field behaviour.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CD0B8B">
            <w:pPr>
              <w:jc w:val="center"/>
            </w:pPr>
            <w:r>
              <w:rPr>
                <w:sz w:val="14"/>
              </w:rPr>
              <w:t>NFR-4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Performance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Field behaviour should respond immediately to relevant user actions without requiring form submission.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CD0B8B">
            <w:pPr>
              <w:jc w:val="center"/>
            </w:pPr>
            <w:r>
              <w:rPr>
                <w:sz w:val="14"/>
              </w:rPr>
              <w:t>NFR-5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Availability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 xml:space="preserve">The </w:t>
            </w:r>
            <w:r>
              <w:rPr>
                <w:sz w:val="14"/>
              </w:rPr>
              <w:t>functionality should be available whenever the ServiceNow Incident form is available to the user.</w:t>
            </w:r>
          </w:p>
        </w:tc>
      </w:tr>
      <w:tr w:rsidR="00B1121E">
        <w:trPr>
          <w:jc w:val="center"/>
        </w:trPr>
        <w:tc>
          <w:tcPr>
            <w:tcW w:w="3504" w:type="dxa"/>
            <w:vAlign w:val="center"/>
          </w:tcPr>
          <w:p w:rsidR="00B1121E" w:rsidRDefault="00CD0B8B">
            <w:pPr>
              <w:jc w:val="center"/>
            </w:pPr>
            <w:r>
              <w:rPr>
                <w:sz w:val="14"/>
              </w:rPr>
              <w:t>NFR-6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Scalability</w:t>
            </w:r>
          </w:p>
        </w:tc>
        <w:tc>
          <w:tcPr>
            <w:tcW w:w="3504" w:type="dxa"/>
            <w:vAlign w:val="center"/>
          </w:tcPr>
          <w:p w:rsidR="00B1121E" w:rsidRDefault="00CD0B8B">
            <w:r>
              <w:rPr>
                <w:sz w:val="14"/>
              </w:rPr>
              <w:t>The requirements are implemented at the Incident form level; no separate scaling architecture is specified.</w:t>
            </w:r>
          </w:p>
        </w:tc>
      </w:tr>
    </w:tbl>
    <w:p w:rsidR="00B1121E" w:rsidRDefault="00CD0B8B">
      <w:r>
        <w:rPr>
          <w:b/>
        </w:rPr>
        <w:t xml:space="preserve">Source basis: </w:t>
      </w:r>
      <w:r>
        <w:t>Adapted from the</w:t>
      </w:r>
      <w:r>
        <w:t xml:space="preserve"> uploaded Solution Requirements template while replacing its sample registration/confirmation requirements with requirements supported by the ServiceNow Incident project description.</w:t>
      </w:r>
    </w:p>
    <w:sectPr w:rsidR="00B1121E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121E"/>
    <w:rsid w:val="00B47730"/>
    <w:rsid w:val="00CB0664"/>
    <w:rsid w:val="00CD0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7EDD69-0F9B-4EB4-866D-949754AA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D68917-967E-495D-8FB5-DF90C7FA4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2026-10-05T12:26:00Z</dcterms:modified>
  <cp:category/>
</cp:coreProperties>
</file>