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32B" w:rsidRDefault="00887753">
      <w:pPr>
        <w:spacing w:after="60"/>
        <w:jc w:val="center"/>
      </w:pPr>
      <w:r>
        <w:rPr>
          <w:b/>
          <w:sz w:val="30"/>
        </w:rPr>
        <w:t>Project Design Phase</w:t>
      </w:r>
    </w:p>
    <w:p w:rsidR="00E6632B" w:rsidRDefault="00887753">
      <w:pPr>
        <w:spacing w:after="60"/>
        <w:jc w:val="center"/>
      </w:pPr>
      <w:r>
        <w:rPr>
          <w:b/>
          <w:sz w:val="26"/>
        </w:rPr>
        <w:t>Proposed Solution Template</w:t>
      </w:r>
    </w:p>
    <w:tbl>
      <w:tblPr>
        <w:tblStyle w:val="TableGrid"/>
        <w:tblW w:w="0" w:type="auto"/>
        <w:jc w:val="center"/>
        <w:tblLook w:val="04A0" w:firstRow="1" w:lastRow="0" w:firstColumn="1" w:lastColumn="0" w:noHBand="0" w:noVBand="1"/>
      </w:tblPr>
      <w:tblGrid>
        <w:gridCol w:w="5184"/>
        <w:gridCol w:w="5184"/>
      </w:tblGrid>
      <w:tr w:rsidR="00E6632B">
        <w:trPr>
          <w:jc w:val="center"/>
        </w:trPr>
        <w:tc>
          <w:tcPr>
            <w:tcW w:w="5184" w:type="dxa"/>
            <w:vAlign w:val="center"/>
          </w:tcPr>
          <w:p w:rsidR="00E6632B" w:rsidRDefault="00887753">
            <w:r>
              <w:t>Date</w:t>
            </w:r>
          </w:p>
        </w:tc>
        <w:tc>
          <w:tcPr>
            <w:tcW w:w="5184" w:type="dxa"/>
            <w:vAlign w:val="center"/>
          </w:tcPr>
          <w:p w:rsidR="00E6632B" w:rsidRDefault="00887753">
            <w:r>
              <w:t>03 October 2026</w:t>
            </w:r>
          </w:p>
        </w:tc>
      </w:tr>
      <w:tr w:rsidR="00E6632B">
        <w:trPr>
          <w:jc w:val="center"/>
        </w:trPr>
        <w:tc>
          <w:tcPr>
            <w:tcW w:w="5184" w:type="dxa"/>
            <w:vAlign w:val="center"/>
          </w:tcPr>
          <w:p w:rsidR="00E6632B" w:rsidRDefault="00887753">
            <w:r>
              <w:t>Team ID</w:t>
            </w:r>
          </w:p>
        </w:tc>
        <w:tc>
          <w:tcPr>
            <w:tcW w:w="5184" w:type="dxa"/>
            <w:vAlign w:val="center"/>
          </w:tcPr>
          <w:p w:rsidR="00E6632B" w:rsidRDefault="00170A6F">
            <w:r w:rsidRPr="00170A6F">
              <w:t>SWTID-2026-7282</w:t>
            </w:r>
            <w:bookmarkStart w:id="0" w:name="_GoBack"/>
            <w:bookmarkEnd w:id="0"/>
          </w:p>
        </w:tc>
      </w:tr>
      <w:tr w:rsidR="00E6632B">
        <w:trPr>
          <w:jc w:val="center"/>
        </w:trPr>
        <w:tc>
          <w:tcPr>
            <w:tcW w:w="5184" w:type="dxa"/>
            <w:vAlign w:val="center"/>
          </w:tcPr>
          <w:p w:rsidR="00E6632B" w:rsidRDefault="00887753">
            <w:r>
              <w:t>Project Name</w:t>
            </w:r>
          </w:p>
        </w:tc>
        <w:tc>
          <w:tcPr>
            <w:tcW w:w="5184" w:type="dxa"/>
            <w:vAlign w:val="center"/>
          </w:tcPr>
          <w:p w:rsidR="00E6632B" w:rsidRDefault="00887753">
            <w:r>
              <w:t>Implement Client Script &amp; UI Policy (Incident)</w:t>
            </w:r>
          </w:p>
        </w:tc>
      </w:tr>
      <w:tr w:rsidR="00E6632B">
        <w:trPr>
          <w:jc w:val="center"/>
        </w:trPr>
        <w:tc>
          <w:tcPr>
            <w:tcW w:w="5184" w:type="dxa"/>
            <w:vAlign w:val="center"/>
          </w:tcPr>
          <w:p w:rsidR="00E6632B" w:rsidRDefault="00887753">
            <w:r>
              <w:t>Maximum Marks</w:t>
            </w:r>
          </w:p>
        </w:tc>
        <w:tc>
          <w:tcPr>
            <w:tcW w:w="5184" w:type="dxa"/>
            <w:vAlign w:val="center"/>
          </w:tcPr>
          <w:p w:rsidR="00E6632B" w:rsidRDefault="00887753">
            <w:r>
              <w:t>2 Marks</w:t>
            </w:r>
          </w:p>
        </w:tc>
      </w:tr>
    </w:tbl>
    <w:p w:rsidR="00E6632B" w:rsidRDefault="00887753">
      <w:r>
        <w:rPr>
          <w:b/>
          <w:sz w:val="22"/>
        </w:rPr>
        <w:t>Proposed Solution Template:</w:t>
      </w:r>
    </w:p>
    <w:p w:rsidR="00E6632B" w:rsidRDefault="00887753">
      <w:r>
        <w:t xml:space="preserve">Project team shall fill the following </w:t>
      </w:r>
      <w:r>
        <w:t>information in the proposed solution template.</w:t>
      </w:r>
    </w:p>
    <w:tbl>
      <w:tblPr>
        <w:tblStyle w:val="TableGrid"/>
        <w:tblW w:w="0" w:type="auto"/>
        <w:jc w:val="center"/>
        <w:tblLook w:val="04A0" w:firstRow="1" w:lastRow="0" w:firstColumn="1" w:lastColumn="0" w:noHBand="0" w:noVBand="1"/>
      </w:tblPr>
      <w:tblGrid>
        <w:gridCol w:w="3456"/>
        <w:gridCol w:w="3456"/>
        <w:gridCol w:w="3456"/>
      </w:tblGrid>
      <w:tr w:rsidR="00E6632B">
        <w:trPr>
          <w:jc w:val="center"/>
        </w:trPr>
        <w:tc>
          <w:tcPr>
            <w:tcW w:w="3456" w:type="dxa"/>
          </w:tcPr>
          <w:p w:rsidR="00E6632B" w:rsidRDefault="00887753">
            <w:r>
              <w:rPr>
                <w:b/>
                <w:sz w:val="17"/>
              </w:rPr>
              <w:t>S.No.</w:t>
            </w:r>
          </w:p>
        </w:tc>
        <w:tc>
          <w:tcPr>
            <w:tcW w:w="3456" w:type="dxa"/>
          </w:tcPr>
          <w:p w:rsidR="00E6632B" w:rsidRDefault="00887753">
            <w:r>
              <w:rPr>
                <w:b/>
                <w:sz w:val="17"/>
              </w:rPr>
              <w:t>Parameter</w:t>
            </w:r>
          </w:p>
        </w:tc>
        <w:tc>
          <w:tcPr>
            <w:tcW w:w="3456" w:type="dxa"/>
          </w:tcPr>
          <w:p w:rsidR="00E6632B" w:rsidRDefault="00887753">
            <w:r>
              <w:rPr>
                <w:b/>
                <w:sz w:val="17"/>
              </w:rPr>
              <w:t>Description</w:t>
            </w:r>
          </w:p>
        </w:tc>
      </w:tr>
      <w:tr w:rsidR="00E6632B">
        <w:trPr>
          <w:jc w:val="center"/>
        </w:trPr>
        <w:tc>
          <w:tcPr>
            <w:tcW w:w="3456" w:type="dxa"/>
            <w:vAlign w:val="center"/>
          </w:tcPr>
          <w:p w:rsidR="00E6632B" w:rsidRDefault="00887753">
            <w:pPr>
              <w:jc w:val="center"/>
            </w:pPr>
            <w:r>
              <w:rPr>
                <w:sz w:val="16"/>
              </w:rPr>
              <w:t>1.</w:t>
            </w:r>
          </w:p>
        </w:tc>
        <w:tc>
          <w:tcPr>
            <w:tcW w:w="3456" w:type="dxa"/>
            <w:vAlign w:val="center"/>
          </w:tcPr>
          <w:p w:rsidR="00E6632B" w:rsidRDefault="00887753">
            <w:r>
              <w:rPr>
                <w:b/>
                <w:sz w:val="16"/>
              </w:rPr>
              <w:t>Problem Statement (Problem to be solved)</w:t>
            </w:r>
          </w:p>
        </w:tc>
        <w:tc>
          <w:tcPr>
            <w:tcW w:w="3456" w:type="dxa"/>
            <w:vAlign w:val="center"/>
          </w:tcPr>
          <w:p w:rsidR="00E6632B" w:rsidRDefault="00887753">
            <w:r>
              <w:rPr>
                <w:sz w:val="16"/>
              </w:rPr>
              <w:t xml:space="preserve">ServiceNow Incident forms can require dynamic field behaviour based on user actions and Incident conditions. Without appropriate Client </w:t>
            </w:r>
            <w:r>
              <w:rPr>
                <w:sz w:val="16"/>
              </w:rPr>
              <w:t>Scripts and UI Policies, users may see unnecessary fields, enter incorrect information, or miss required information. The project addresses this by dynamically controlling Incident form fields without requiring the form to be submitted.</w:t>
            </w:r>
          </w:p>
        </w:tc>
      </w:tr>
      <w:tr w:rsidR="00E6632B">
        <w:trPr>
          <w:jc w:val="center"/>
        </w:trPr>
        <w:tc>
          <w:tcPr>
            <w:tcW w:w="3456" w:type="dxa"/>
            <w:vAlign w:val="center"/>
          </w:tcPr>
          <w:p w:rsidR="00E6632B" w:rsidRDefault="00887753">
            <w:pPr>
              <w:jc w:val="center"/>
            </w:pPr>
            <w:r>
              <w:rPr>
                <w:sz w:val="16"/>
              </w:rPr>
              <w:t>2.</w:t>
            </w:r>
          </w:p>
        </w:tc>
        <w:tc>
          <w:tcPr>
            <w:tcW w:w="3456" w:type="dxa"/>
            <w:vAlign w:val="center"/>
          </w:tcPr>
          <w:p w:rsidR="00E6632B" w:rsidRDefault="00887753">
            <w:r>
              <w:rPr>
                <w:b/>
                <w:sz w:val="16"/>
              </w:rPr>
              <w:t>Idea / Solution</w:t>
            </w:r>
            <w:r>
              <w:rPr>
                <w:b/>
                <w:sz w:val="16"/>
              </w:rPr>
              <w:t xml:space="preserve"> description</w:t>
            </w:r>
          </w:p>
        </w:tc>
        <w:tc>
          <w:tcPr>
            <w:tcW w:w="3456" w:type="dxa"/>
            <w:vAlign w:val="center"/>
          </w:tcPr>
          <w:p w:rsidR="00E6632B" w:rsidRDefault="00887753">
            <w:r>
              <w:rPr>
                <w:sz w:val="16"/>
              </w:rPr>
              <w:t xml:space="preserve">Implement Client Scripts and UI Policies on the ServiceNow Incident form. Client Scripts respond to user actions, while UI Policies control field behaviour according to Incident conditions. Together, they provide immediate field-level changes </w:t>
            </w:r>
            <w:r>
              <w:rPr>
                <w:sz w:val="16"/>
              </w:rPr>
              <w:t>such as visibility, mandatory state, and read-only behaviour, improving the user experience and reducing incorrect data entry.</w:t>
            </w:r>
          </w:p>
        </w:tc>
      </w:tr>
      <w:tr w:rsidR="00E6632B">
        <w:trPr>
          <w:jc w:val="center"/>
        </w:trPr>
        <w:tc>
          <w:tcPr>
            <w:tcW w:w="3456" w:type="dxa"/>
            <w:vAlign w:val="center"/>
          </w:tcPr>
          <w:p w:rsidR="00E6632B" w:rsidRDefault="00887753">
            <w:pPr>
              <w:jc w:val="center"/>
            </w:pPr>
            <w:r>
              <w:rPr>
                <w:sz w:val="16"/>
              </w:rPr>
              <w:t>3.</w:t>
            </w:r>
          </w:p>
        </w:tc>
        <w:tc>
          <w:tcPr>
            <w:tcW w:w="3456" w:type="dxa"/>
            <w:vAlign w:val="center"/>
          </w:tcPr>
          <w:p w:rsidR="00E6632B" w:rsidRDefault="00887753">
            <w:r>
              <w:rPr>
                <w:b/>
                <w:sz w:val="16"/>
              </w:rPr>
              <w:t>Novelty / Uniqueness</w:t>
            </w:r>
          </w:p>
        </w:tc>
        <w:tc>
          <w:tcPr>
            <w:tcW w:w="3456" w:type="dxa"/>
            <w:vAlign w:val="center"/>
          </w:tcPr>
          <w:p w:rsidR="00E6632B" w:rsidRDefault="00887753">
            <w:r>
              <w:rPr>
                <w:sz w:val="16"/>
              </w:rPr>
              <w:t>The solution focuses on real-time, form-level guidance within the Incident form. Client Scripts and UI P</w:t>
            </w:r>
            <w:r>
              <w:rPr>
                <w:sz w:val="16"/>
              </w:rPr>
              <w:t>olicies work as complementary, parallel controls so that relevant field behaviour can be applied immediately while the user is entering Incident information, without waiting for form submission.</w:t>
            </w:r>
          </w:p>
        </w:tc>
      </w:tr>
      <w:tr w:rsidR="00E6632B">
        <w:trPr>
          <w:jc w:val="center"/>
        </w:trPr>
        <w:tc>
          <w:tcPr>
            <w:tcW w:w="3456" w:type="dxa"/>
            <w:vAlign w:val="center"/>
          </w:tcPr>
          <w:p w:rsidR="00E6632B" w:rsidRDefault="00887753">
            <w:pPr>
              <w:jc w:val="center"/>
            </w:pPr>
            <w:r>
              <w:rPr>
                <w:sz w:val="16"/>
              </w:rPr>
              <w:t>4.</w:t>
            </w:r>
          </w:p>
        </w:tc>
        <w:tc>
          <w:tcPr>
            <w:tcW w:w="3456" w:type="dxa"/>
            <w:vAlign w:val="center"/>
          </w:tcPr>
          <w:p w:rsidR="00E6632B" w:rsidRDefault="00887753">
            <w:r>
              <w:rPr>
                <w:b/>
                <w:sz w:val="16"/>
              </w:rPr>
              <w:t>Social Impact / Customer Satisfaction</w:t>
            </w:r>
          </w:p>
        </w:tc>
        <w:tc>
          <w:tcPr>
            <w:tcW w:w="3456" w:type="dxa"/>
            <w:vAlign w:val="center"/>
          </w:tcPr>
          <w:p w:rsidR="00E6632B" w:rsidRDefault="00887753">
            <w:r>
              <w:rPr>
                <w:sz w:val="16"/>
              </w:rPr>
              <w:t>The solution can ma</w:t>
            </w:r>
            <w:r>
              <w:rPr>
                <w:sz w:val="16"/>
              </w:rPr>
              <w:t>ke Incident entry clearer and more consistent for IT service desk users. It reduces avoidable data-entry mistakes, guides users toward appropriate information, and provides immediate feedback through dynamic field behaviour. This can improve the overall us</w:t>
            </w:r>
            <w:r>
              <w:rPr>
                <w:sz w:val="16"/>
              </w:rPr>
              <w:t>ability of the Incident form.</w:t>
            </w:r>
          </w:p>
        </w:tc>
      </w:tr>
      <w:tr w:rsidR="00E6632B">
        <w:trPr>
          <w:jc w:val="center"/>
        </w:trPr>
        <w:tc>
          <w:tcPr>
            <w:tcW w:w="3456" w:type="dxa"/>
            <w:vAlign w:val="center"/>
          </w:tcPr>
          <w:p w:rsidR="00E6632B" w:rsidRDefault="00887753">
            <w:pPr>
              <w:jc w:val="center"/>
            </w:pPr>
            <w:r>
              <w:rPr>
                <w:sz w:val="16"/>
              </w:rPr>
              <w:t>5.</w:t>
            </w:r>
          </w:p>
        </w:tc>
        <w:tc>
          <w:tcPr>
            <w:tcW w:w="3456" w:type="dxa"/>
            <w:vAlign w:val="center"/>
          </w:tcPr>
          <w:p w:rsidR="00E6632B" w:rsidRDefault="00887753">
            <w:r>
              <w:rPr>
                <w:b/>
                <w:sz w:val="16"/>
              </w:rPr>
              <w:t>Business Model (Revenue Model)</w:t>
            </w:r>
          </w:p>
        </w:tc>
        <w:tc>
          <w:tcPr>
            <w:tcW w:w="3456" w:type="dxa"/>
            <w:vAlign w:val="center"/>
          </w:tcPr>
          <w:p w:rsidR="00E6632B" w:rsidRDefault="00887753">
            <w:r>
              <w:rPr>
                <w:sz w:val="16"/>
              </w:rPr>
              <w:t xml:space="preserve">No separate revenue model is specified in the project description. The proposed solution is a ServiceNow form-level configuration intended to improve the efficiency and quality of Incident </w:t>
            </w:r>
            <w:r>
              <w:rPr>
                <w:sz w:val="16"/>
              </w:rPr>
              <w:t>data entry within an organization's existing ServiceNow environment.</w:t>
            </w:r>
          </w:p>
        </w:tc>
      </w:tr>
      <w:tr w:rsidR="00E6632B">
        <w:trPr>
          <w:jc w:val="center"/>
        </w:trPr>
        <w:tc>
          <w:tcPr>
            <w:tcW w:w="3456" w:type="dxa"/>
            <w:vAlign w:val="center"/>
          </w:tcPr>
          <w:p w:rsidR="00E6632B" w:rsidRDefault="00887753">
            <w:pPr>
              <w:jc w:val="center"/>
            </w:pPr>
            <w:r>
              <w:rPr>
                <w:sz w:val="16"/>
              </w:rPr>
              <w:t>6.</w:t>
            </w:r>
          </w:p>
        </w:tc>
        <w:tc>
          <w:tcPr>
            <w:tcW w:w="3456" w:type="dxa"/>
            <w:vAlign w:val="center"/>
          </w:tcPr>
          <w:p w:rsidR="00E6632B" w:rsidRDefault="00887753">
            <w:r>
              <w:rPr>
                <w:b/>
                <w:sz w:val="16"/>
              </w:rPr>
              <w:t>Scalability of the Solution</w:t>
            </w:r>
          </w:p>
        </w:tc>
        <w:tc>
          <w:tcPr>
            <w:tcW w:w="3456" w:type="dxa"/>
            <w:vAlign w:val="center"/>
          </w:tcPr>
          <w:p w:rsidR="00E6632B" w:rsidRDefault="00887753">
            <w:r>
              <w:rPr>
                <w:sz w:val="16"/>
              </w:rPr>
              <w:t>The approach can be extended to additional Incident fields and conditions by configuring further Client Scripts and UI Policies. The supplied project scope</w:t>
            </w:r>
            <w:r>
              <w:rPr>
                <w:sz w:val="16"/>
              </w:rPr>
              <w:t xml:space="preserve"> does not specify a separate distributed or cloud architecture; scalability here refers to extending the form-level rules and field controls within ServiceNow.</w:t>
            </w:r>
          </w:p>
        </w:tc>
      </w:tr>
    </w:tbl>
    <w:p w:rsidR="00887753" w:rsidRDefault="00887753"/>
    <w:sectPr w:rsidR="0088775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0A6F"/>
    <w:rsid w:val="0029639D"/>
    <w:rsid w:val="00326F90"/>
    <w:rsid w:val="00887753"/>
    <w:rsid w:val="00AA1D8D"/>
    <w:rsid w:val="00B47730"/>
    <w:rsid w:val="00CB0664"/>
    <w:rsid w:val="00E66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779EFA1-42E9-44E7-9CB8-8973F35B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A5D98-7324-4E7F-8564-E42D4C92F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2026-10-05T12:28:00Z</dcterms:modified>
  <cp:category/>
</cp:coreProperties>
</file>