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4717" w:rsidRDefault="00B852DB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:rsidR="00D04717" w:rsidRDefault="00B852DB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D04717" w:rsidRDefault="00D04717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852DB">
        <w:tc>
          <w:tcPr>
            <w:tcW w:w="4508" w:type="dxa"/>
          </w:tcPr>
          <w:p w:rsidR="00B852DB" w:rsidRDefault="00B852D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B852DB" w:rsidRDefault="00B852DB" w:rsidP="00D45B36">
            <w:r>
              <w:rPr>
                <w:sz w:val="18"/>
              </w:rPr>
              <w:t>03 October 2026</w:t>
            </w:r>
          </w:p>
        </w:tc>
      </w:tr>
      <w:tr w:rsidR="00B852DB">
        <w:tc>
          <w:tcPr>
            <w:tcW w:w="4508" w:type="dxa"/>
          </w:tcPr>
          <w:p w:rsidR="00B852DB" w:rsidRDefault="00B852D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B852DB" w:rsidRDefault="00D408A4" w:rsidP="00D45B36">
            <w:r w:rsidRPr="00D408A4">
              <w:t>SWTID-2026-7282</w:t>
            </w:r>
            <w:bookmarkStart w:id="0" w:name="_GoBack"/>
            <w:bookmarkEnd w:id="0"/>
          </w:p>
        </w:tc>
      </w:tr>
      <w:tr w:rsidR="00D04717">
        <w:tc>
          <w:tcPr>
            <w:tcW w:w="4508" w:type="dxa"/>
          </w:tcPr>
          <w:p w:rsidR="00D04717" w:rsidRDefault="00B852D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D04717" w:rsidRDefault="00B852DB">
            <w:r>
              <w:rPr>
                <w:sz w:val="18"/>
              </w:rPr>
              <w:t>Implement Client Script &amp; UI Policy (Incident)</w:t>
            </w:r>
          </w:p>
        </w:tc>
      </w:tr>
      <w:tr w:rsidR="00D04717">
        <w:tc>
          <w:tcPr>
            <w:tcW w:w="4508" w:type="dxa"/>
          </w:tcPr>
          <w:p w:rsidR="00D04717" w:rsidRDefault="00B852D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D04717" w:rsidRDefault="00B852DB">
            <w:r>
              <w:rPr>
                <w:sz w:val="18"/>
              </w:rPr>
              <w:t>10 Marks</w:t>
            </w:r>
          </w:p>
        </w:tc>
      </w:tr>
    </w:tbl>
    <w:p w:rsidR="00D04717" w:rsidRDefault="00D04717">
      <w:pPr>
        <w:spacing w:after="160" w:line="259" w:lineRule="auto"/>
        <w:rPr>
          <w:rFonts w:ascii="Calibri" w:eastAsia="Calibri" w:hAnsi="Calibri" w:cs="Calibri"/>
          <w:b/>
        </w:rPr>
      </w:pPr>
    </w:p>
    <w:p w:rsidR="00D04717" w:rsidRDefault="00B852DB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:rsidR="00D04717" w:rsidRDefault="00B852D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4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D04717">
        <w:trPr>
          <w:trHeight w:val="557"/>
        </w:trPr>
        <w:tc>
          <w:tcPr>
            <w:tcW w:w="735" w:type="dxa"/>
          </w:tcPr>
          <w:p w:rsidR="00D04717" w:rsidRDefault="00B852DB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:rsidR="00D04717" w:rsidRDefault="00B852DB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:rsidR="00D04717" w:rsidRDefault="00B852DB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D04717">
        <w:trPr>
          <w:trHeight w:val="817"/>
        </w:trPr>
        <w:tc>
          <w:tcPr>
            <w:tcW w:w="735" w:type="dxa"/>
          </w:tcPr>
          <w:p w:rsidR="00D04717" w:rsidRDefault="00D04717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:rsidR="00D04717" w:rsidRDefault="00B852D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:rsidR="00D04717" w:rsidRDefault="00B852DB">
            <w:r>
              <w:rPr>
                <w:sz w:val="18"/>
              </w:rPr>
              <w:t>Data Rendered: N/A – no Power BI report is used.</w:t>
            </w:r>
          </w:p>
        </w:tc>
      </w:tr>
      <w:tr w:rsidR="00D04717">
        <w:trPr>
          <w:trHeight w:val="817"/>
        </w:trPr>
        <w:tc>
          <w:tcPr>
            <w:tcW w:w="735" w:type="dxa"/>
          </w:tcPr>
          <w:p w:rsidR="00D04717" w:rsidRDefault="00D04717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:rsidR="00D04717" w:rsidRDefault="00B852D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:rsidR="00D04717" w:rsidRDefault="00B852DB">
            <w:r>
              <w:rPr>
                <w:sz w:val="18"/>
              </w:rPr>
              <w:t xml:space="preserve">Data Preprocessing: N/A – Incident records are handled directly in </w:t>
            </w:r>
            <w:proofErr w:type="spellStart"/>
            <w:r>
              <w:rPr>
                <w:sz w:val="18"/>
              </w:rPr>
              <w:t>ServiceNow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D04717">
        <w:trPr>
          <w:trHeight w:val="817"/>
        </w:trPr>
        <w:tc>
          <w:tcPr>
            <w:tcW w:w="735" w:type="dxa"/>
          </w:tcPr>
          <w:p w:rsidR="00D04717" w:rsidRDefault="00B852DB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:rsidR="00D04717" w:rsidRDefault="00B852DB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Data Filters</w:t>
            </w:r>
          </w:p>
        </w:tc>
        <w:tc>
          <w:tcPr>
            <w:tcW w:w="5580" w:type="dxa"/>
          </w:tcPr>
          <w:p w:rsidR="00D04717" w:rsidRDefault="00B852DB">
            <w:r>
              <w:rPr>
                <w:sz w:val="18"/>
              </w:rPr>
              <w:t>Utilization of Data Filters: N/A – no Power BI filters are used.</w:t>
            </w:r>
          </w:p>
        </w:tc>
      </w:tr>
      <w:tr w:rsidR="00D04717">
        <w:trPr>
          <w:trHeight w:val="817"/>
        </w:trPr>
        <w:tc>
          <w:tcPr>
            <w:tcW w:w="735" w:type="dxa"/>
          </w:tcPr>
          <w:p w:rsidR="00D04717" w:rsidRDefault="00B852DB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:rsidR="00D04717" w:rsidRDefault="00B852DB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DAX Queries Used</w:t>
            </w:r>
          </w:p>
        </w:tc>
        <w:tc>
          <w:tcPr>
            <w:tcW w:w="5580" w:type="dxa"/>
          </w:tcPr>
          <w:p w:rsidR="00D04717" w:rsidRDefault="00B852DB">
            <w:r>
              <w:rPr>
                <w:sz w:val="18"/>
              </w:rPr>
              <w:t>DAX Queries Used: N/A – no DAX is required.</w:t>
            </w:r>
          </w:p>
        </w:tc>
      </w:tr>
      <w:tr w:rsidR="00D04717">
        <w:trPr>
          <w:trHeight w:val="817"/>
        </w:trPr>
        <w:tc>
          <w:tcPr>
            <w:tcW w:w="735" w:type="dxa"/>
          </w:tcPr>
          <w:p w:rsidR="00D04717" w:rsidRDefault="00B852DB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:rsidR="00D04717" w:rsidRDefault="00B852D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:rsidR="00D04717" w:rsidRDefault="00B852DB">
            <w:r>
              <w:rPr>
                <w:sz w:val="18"/>
              </w:rPr>
              <w:t>Dashboard design: N/A</w:t>
            </w:r>
            <w:r>
              <w:rPr>
                <w:sz w:val="18"/>
              </w:rPr>
              <w:br/>
              <w:t>No. of Visualizations / Graphs: 0</w:t>
            </w:r>
          </w:p>
        </w:tc>
      </w:tr>
      <w:tr w:rsidR="00D04717">
        <w:trPr>
          <w:trHeight w:val="817"/>
        </w:trPr>
        <w:tc>
          <w:tcPr>
            <w:tcW w:w="735" w:type="dxa"/>
          </w:tcPr>
          <w:p w:rsidR="00D04717" w:rsidRDefault="00B852DB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:rsidR="00D04717" w:rsidRDefault="00B852D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Report Design</w:t>
            </w:r>
          </w:p>
        </w:tc>
        <w:tc>
          <w:tcPr>
            <w:tcW w:w="5580" w:type="dxa"/>
          </w:tcPr>
          <w:p w:rsidR="00D04717" w:rsidRDefault="00B852DB">
            <w:r>
              <w:rPr>
                <w:sz w:val="18"/>
              </w:rPr>
              <w:t>Report Design: N/A</w:t>
            </w:r>
            <w:r>
              <w:rPr>
                <w:sz w:val="18"/>
              </w:rPr>
              <w:br/>
              <w:t>No. of Visualizations / Graphs: 0</w:t>
            </w:r>
          </w:p>
        </w:tc>
      </w:tr>
    </w:tbl>
    <w:p w:rsidR="00D04717" w:rsidRDefault="00D04717">
      <w:pPr>
        <w:spacing w:after="160" w:line="259" w:lineRule="auto"/>
        <w:rPr>
          <w:rFonts w:ascii="Calibri" w:eastAsia="Calibri" w:hAnsi="Calibri" w:cs="Calibri"/>
        </w:rPr>
      </w:pPr>
    </w:p>
    <w:p w:rsidR="00D04717" w:rsidRDefault="00D04717"/>
    <w:p w:rsidR="00D04717" w:rsidRDefault="00D04717"/>
    <w:p w:rsidR="00D04717" w:rsidRDefault="00D04717"/>
    <w:sectPr w:rsidR="00D0471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5B8742C"/>
    <w:multiLevelType w:val="multilevel"/>
    <w:tmpl w:val="3932B2A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D04717"/>
    <w:rsid w:val="00B852DB"/>
    <w:rsid w:val="00D04717"/>
    <w:rsid w:val="00D40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5EAA0D3-1A07-412D-835C-BC8316407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3</cp:revision>
  <dcterms:created xsi:type="dcterms:W3CDTF">2026-10-03T16:39:00Z</dcterms:created>
  <dcterms:modified xsi:type="dcterms:W3CDTF">2026-10-05T12:37:00Z</dcterms:modified>
</cp:coreProperties>
</file>