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b/>
          <w:bCs/>
          <w:color w:val="7A7A7A"/>
          <w:sz w:val="22"/>
          <w:szCs w:val="22"/>
        </w:rPr>
        <w:t xml:space="preserve">MERIDIAN RETAIL PVT. LTD.</w:t>
      </w:r>
    </w:p>
    <w:p>
      <w:pPr>
        <w:pBdr>
          <w:bottom w:val="single" w:color="8A6D00" w:sz="18" w:space="6"/>
        </w:pBdr>
        <w:spacing w:after="40"/>
      </w:pPr>
      <w:r>
        <w:t xml:space="preserve"/>
      </w:r>
    </w:p>
    <w:p>
      <w:pPr>
        <w:spacing w:before="240"/>
      </w:pPr>
      <w:r>
        <w:rPr>
          <w:b/>
          <w:bCs/>
          <w:color w:val="1F3864"/>
          <w:sz w:val="64"/>
          <w:szCs w:val="64"/>
        </w:rPr>
        <w:t xml:space="preserve">Project Horizon</w:t>
      </w:r>
    </w:p>
    <w:p>
      <w:r>
        <w:rPr>
          <w:b/>
          <w:bCs/>
          <w:color w:val="2E5496"/>
          <w:sz w:val="34"/>
          <w:szCs w:val="34"/>
        </w:rPr>
        <w:t xml:space="preserve">ShopSphere E-Commerce Platform</w:t>
      </w:r>
    </w:p>
    <w:p>
      <w:pPr>
        <w:spacing w:before="200"/>
      </w:pPr>
      <w:r>
        <w:rPr>
          <w:color w:val="333333"/>
          <w:sz w:val="26"/>
          <w:szCs w:val="26"/>
        </w:rPr>
        <w:t xml:space="preserve">Project Management Plan &amp; Business Analysis Blueprint</w:t>
      </w:r>
    </w:p>
    <w:p>
      <w:pPr>
        <w:spacing w:after="500"/>
      </w:pPr>
      <w:r>
        <w:t xml:space="preserve"/>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2527"/>
        <w:gridCol w:w="6499"/>
      </w:tblGrid>
      <w:tr>
        <w:trPr>
          <w:tblHeader/>
        </w:trPr>
        <w:tc>
          <w:tcPr>
            <w:tcW w:type="dxa" w:w="2527"/>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Document Control</w:t>
            </w:r>
          </w:p>
        </w:tc>
        <w:tc>
          <w:tcPr>
            <w:tcW w:type="dxa" w:w="6499"/>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Document</w:t>
            </w:r>
          </w:p>
        </w:tc>
        <w:tc>
          <w:tcPr>
            <w:tcW w:type="dxa" w:w="649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Project Management Plan (Master)</w:t>
            </w:r>
          </w:p>
        </w:tc>
      </w:tr>
      <w:tr>
        <w:tc>
          <w:tcPr>
            <w:tcW w:type="dxa" w:w="252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Document code</w:t>
            </w:r>
          </w:p>
        </w:tc>
        <w:tc>
          <w:tcPr>
            <w:tcW w:type="dxa" w:w="649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PMP-HRZN-001  ·  Version 1.0</w:t>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Prepared by</w:t>
            </w:r>
          </w:p>
        </w:tc>
        <w:tc>
          <w:tcPr>
            <w:tcW w:type="dxa" w:w="649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Senior IT Project Manager &amp; Business Analyst</w:t>
            </w:r>
          </w:p>
        </w:tc>
      </w:tr>
      <w:tr>
        <w:tc>
          <w:tcPr>
            <w:tcW w:type="dxa" w:w="252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Date</w:t>
            </w:r>
          </w:p>
        </w:tc>
        <w:tc>
          <w:tcPr>
            <w:tcW w:type="dxa" w:w="649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June 2026</w:t>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Currency</w:t>
            </w:r>
          </w:p>
        </w:tc>
        <w:tc>
          <w:tcPr>
            <w:tcW w:type="dxa" w:w="649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Indian Rupee (INR, ₹)</w:t>
            </w:r>
          </w:p>
        </w:tc>
      </w:tr>
      <w:tr>
        <w:tc>
          <w:tcPr>
            <w:tcW w:type="dxa" w:w="2527"/>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Classification</w:t>
            </w:r>
          </w:p>
        </w:tc>
        <w:tc>
          <w:tcPr>
            <w:tcW w:type="dxa" w:w="649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Confidential — Internal &amp; Steering Committee</w:t>
            </w:r>
          </w:p>
        </w:tc>
      </w:tr>
      <w:tr>
        <w:tc>
          <w:tcPr>
            <w:tcW w:type="dxa" w:w="2527"/>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Companion files</w:t>
            </w:r>
          </w:p>
        </w:tc>
        <w:tc>
          <w:tcPr>
            <w:tcW w:type="dxa" w:w="649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SRS-HRZN-001 · FRD-HRZN-001 · Wireframes · Budget &amp; Quotation (XLSX) · Timeline &amp; Tasks (XLSX)</w:t>
            </w:r>
          </w:p>
        </w:tc>
      </w:tr>
    </w:tbl>
    <w:p>
      <w:pPr>
        <w:spacing w:before="240"/>
      </w:pPr>
      <w:r>
        <w:rPr>
          <w:i/>
          <w:iCs/>
          <w:color w:val="909090"/>
          <w:sz w:val="16"/>
          <w:szCs w:val="16"/>
        </w:rPr>
        <w:t xml:space="preserve">This plan is an interview/assessment deliverable. Company, figures and timelines are realistic illustrative constructs for an Indian-market e-commerce launch.</w:t>
      </w:r>
    </w:p>
    <w:p>
      <w:r>
        <w:br w:type="page"/>
      </w:r>
    </w:p>
    <w:p>
      <w:pPr>
        <w:sectPr>
          <w:pgSz w:w="11906" w:h="16838"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64"/>
      </w:pPr>
      <w:r>
        <w:t xml:space="preserve">Meridian Retail Pvt. Ltd. is launching ShopSphere, a next-generation online shopping platform spanning a responsive web storefront and native iOS and Android apps, supported by a unified order-management and supply-chain backbone. Project Horizon is the programme that will design, build, test and launch this platform. This document is the master plan: it consolidates the project charter, requirements approach, budget and quotation, risk and quality strategy, governance, and the controls used to keep delivery on track.</w:t>
      </w:r>
    </w:p>
    <w:p>
      <w:pPr>
        <w:spacing w:after="120" w:line="264"/>
      </w:pPr>
      <w:r>
        <w:t xml:space="preserve">The platform will be delivered over an </w:t>
      </w:r>
      <w:r>
        <w:rPr>
          <w:b/>
          <w:bCs/>
        </w:rPr>
        <w:t xml:space="preserve">11-month timeline</w:t>
      </w:r>
      <w:r>
        <w:t xml:space="preserve"> by a cross-functional team peaking at roughly 30 specialists, at a total pre-tax budget of </w:t>
      </w:r>
      <w:r>
        <w:rPr>
          <w:b/>
          <w:bCs/>
        </w:rPr>
        <w:t xml:space="preserve">₹4.05 crore (₹4,04,78,400)</w:t>
      </w:r>
      <w:r>
        <w:t xml:space="preserve">, or </w:t>
      </w:r>
      <w:r>
        <w:rPr>
          <w:b/>
          <w:bCs/>
        </w:rPr>
        <w:t xml:space="preserve">₹4.78 crore inclusive of 18% GST</w:t>
      </w:r>
      <w:r>
        <w:t xml:space="preserve">. Delivery follows a Scrum-based agile model with stage-gate milestones, milestone-linked funding, and weekly transparency to the Steering Committee.</w:t>
      </w:r>
    </w:p>
    <w:p>
      <w:pPr>
        <w:spacing w:after="120" w:line="264"/>
      </w:pPr>
      <w:r>
        <w:rPr>
          <w:b w:val="false"/>
          <w:bCs w:val="false"/>
        </w:rPr>
        <w:t xml:space="preserve">Three business outcomes define success: </w:t>
      </w:r>
      <w:r>
        <w:rPr>
          <w:b/>
          <w:bCs/>
        </w:rPr>
        <w:t xml:space="preserve">a measurably better shopping experience</w:t>
      </w:r>
      <w:r>
        <w:t xml:space="preserve"> (faster, simpler, personalised), </w:t>
      </w:r>
      <w:r>
        <w:rPr>
          <w:b/>
          <w:bCs/>
        </w:rPr>
        <w:t xml:space="preserve">a modern, scalable platform</w:t>
      </w:r>
      <w:r>
        <w:t xml:space="preserve"> able to handle festive-season peaks, and </w:t>
      </w:r>
      <w:r>
        <w:rPr>
          <w:b/>
          <w:bCs/>
        </w:rPr>
        <w:t xml:space="preserve">an optimised supply chain</w:t>
      </w:r>
      <w:r>
        <w:t xml:space="preserve"> with real-time inventory and faster fulfilment.</w:t>
      </w:r>
    </w:p>
    <w:p>
      <w:pPr>
        <w:pStyle w:val="Heading1"/>
      </w:pPr>
      <w:r>
        <w:t xml:space="preserve">2.  Project Charter</w:t>
      </w:r>
    </w:p>
    <w:p>
      <w:pPr>
        <w:pStyle w:val="Heading2"/>
      </w:pPr>
      <w:r>
        <w:t xml:space="preserve">2.1  Background &amp; Business Case</w:t>
      </w:r>
    </w:p>
    <w:p>
      <w:pPr>
        <w:spacing w:after="120" w:line="264"/>
      </w:pPr>
      <w:r>
        <w:t xml:space="preserve">Meridian’s current platform constrains growth: a dated user interface, slow search, limited personalisation, and a supply chain with poor real-time inventory visibility leading to stock-outs, oversells and delayed deliveries. Cart abandonment and mobile drop-off are above industry benchmarks. ShopSphere replaces this with a modular, cloud-native platform that improves conversion, reduces operating cost per order, and gives Meridian a foundation to scale across categories and regions.</w:t>
      </w:r>
    </w:p>
    <w:p>
      <w:pPr>
        <w:pStyle w:val="Heading2"/>
      </w:pPr>
      <w:r>
        <w:t xml:space="preserve">2.2  Objectives (SMART)</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722"/>
        <w:gridCol w:w="5596"/>
        <w:gridCol w:w="2708"/>
      </w:tblGrid>
      <w:tr>
        <w:trPr>
          <w:tblHeader/>
        </w:trPr>
        <w:tc>
          <w:tcPr>
            <w:tcW w:type="dxa" w:w="722"/>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w:t>
            </w:r>
          </w:p>
        </w:tc>
        <w:tc>
          <w:tcPr>
            <w:tcW w:type="dxa" w:w="5596"/>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Objective</w:t>
            </w:r>
          </w:p>
        </w:tc>
        <w:tc>
          <w:tcPr>
            <w:tcW w:type="dxa" w:w="2708"/>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Target</w:t>
            </w:r>
          </w:p>
        </w:tc>
      </w:tr>
      <w:tr>
        <w:tc>
          <w:tcPr>
            <w:tcW w:type="dxa" w:w="72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O1</w:t>
            </w:r>
          </w:p>
        </w:tc>
        <w:tc>
          <w:tcPr>
            <w:tcW w:type="dxa" w:w="559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Launch ShopSphere web + mobile apps</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Production go-live within 11 months</w:t>
            </w:r>
          </w:p>
        </w:tc>
      </w:tr>
      <w:tr>
        <w:tc>
          <w:tcPr>
            <w:tcW w:type="dxa" w:w="72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O2</w:t>
            </w:r>
          </w:p>
        </w:tc>
        <w:tc>
          <w:tcPr>
            <w:tcW w:type="dxa" w:w="559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Improve checkout conversion vs. current platform</w:t>
            </w:r>
          </w:p>
        </w:tc>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+20% within 3 months of launch</w:t>
            </w:r>
          </w:p>
        </w:tc>
      </w:tr>
      <w:tr>
        <w:tc>
          <w:tcPr>
            <w:tcW w:type="dxa" w:w="72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O3</w:t>
            </w:r>
          </w:p>
        </w:tc>
        <w:tc>
          <w:tcPr>
            <w:tcW w:type="dxa" w:w="559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Reduce cart abandonment</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−15 percentage points</w:t>
            </w:r>
          </w:p>
        </w:tc>
      </w:tr>
      <w:tr>
        <w:tc>
          <w:tcPr>
            <w:tcW w:type="dxa" w:w="72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O4</w:t>
            </w:r>
          </w:p>
        </w:tc>
        <w:tc>
          <w:tcPr>
            <w:tcW w:type="dxa" w:w="559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Improve search-to-page latency (P95)</w:t>
            </w:r>
          </w:p>
        </w:tc>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 800 ms</w:t>
            </w:r>
          </w:p>
        </w:tc>
      </w:tr>
      <w:tr>
        <w:tc>
          <w:tcPr>
            <w:tcW w:type="dxa" w:w="72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O5</w:t>
            </w:r>
          </w:p>
        </w:tc>
        <w:tc>
          <w:tcPr>
            <w:tcW w:type="dxa" w:w="559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Real-time inventory accuracy</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 99% across warehouses</w:t>
            </w:r>
          </w:p>
        </w:tc>
      </w:tr>
      <w:tr>
        <w:tc>
          <w:tcPr>
            <w:tcW w:type="dxa" w:w="72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O6</w:t>
            </w:r>
          </w:p>
        </w:tc>
        <w:tc>
          <w:tcPr>
            <w:tcW w:type="dxa" w:w="559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Reduce average order fulfilment time</w:t>
            </w:r>
          </w:p>
        </w:tc>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−25%</w:t>
            </w:r>
          </w:p>
        </w:tc>
      </w:tr>
      <w:tr>
        <w:tc>
          <w:tcPr>
            <w:tcW w:type="dxa" w:w="72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O7</w:t>
            </w:r>
          </w:p>
        </w:tc>
        <w:tc>
          <w:tcPr>
            <w:tcW w:type="dxa" w:w="559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Deliver within approved budget &amp; schedule</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±5% variance tolerance</w:t>
            </w:r>
          </w:p>
        </w:tc>
      </w:tr>
    </w:tbl>
    <w:p>
      <w:pPr>
        <w:pStyle w:val="Heading2"/>
      </w:pPr>
      <w:r>
        <w:t xml:space="preserve">2.3  Scope</w:t>
      </w:r>
    </w:p>
    <w:p>
      <w:pPr>
        <w:pStyle w:val="Heading3"/>
      </w:pPr>
      <w:r>
        <w:t xml:space="preserve">In Scope</w:t>
      </w:r>
    </w:p>
    <w:p>
      <w:pPr>
        <w:pStyle w:val="ListParagraph"/>
        <w:numPr>
          <w:ilvl w:val="0"/>
          <w:numId w:val="2"/>
        </w:numPr>
        <w:spacing w:after="50" w:line="260"/>
      </w:pPr>
      <w:r>
        <w:t xml:space="preserve">Customer-facing responsive web storefront (catalog, search, PDP, cart, checkout, account, order tracking)</w:t>
      </w:r>
    </w:p>
    <w:p>
      <w:pPr>
        <w:pStyle w:val="ListParagraph"/>
        <w:numPr>
          <w:ilvl w:val="0"/>
          <w:numId w:val="2"/>
        </w:numPr>
        <w:spacing w:after="50" w:line="260"/>
      </w:pPr>
      <w:r>
        <w:t xml:space="preserve">Native iOS and Android applications with feature parity</w:t>
      </w:r>
    </w:p>
    <w:p>
      <w:pPr>
        <w:pStyle w:val="ListParagraph"/>
        <w:numPr>
          <w:ilvl w:val="0"/>
          <w:numId w:val="2"/>
        </w:numPr>
        <w:spacing w:after="50" w:line="260"/>
      </w:pPr>
      <w:r>
        <w:t xml:space="preserve">Catalog, pricing, promotions and merchandising management</w:t>
      </w:r>
    </w:p>
    <w:p>
      <w:pPr>
        <w:pStyle w:val="ListParagraph"/>
        <w:numPr>
          <w:ilvl w:val="0"/>
          <w:numId w:val="2"/>
        </w:numPr>
        <w:spacing w:after="50" w:line="260"/>
      </w:pPr>
      <w:r>
        <w:t xml:space="preserve">Payments: UPI, cards, net-banking, wallets, EMI and Cash-on-Delivery</w:t>
      </w:r>
    </w:p>
    <w:p>
      <w:pPr>
        <w:pStyle w:val="ListParagraph"/>
        <w:numPr>
          <w:ilvl w:val="0"/>
          <w:numId w:val="2"/>
        </w:numPr>
        <w:spacing w:after="50" w:line="260"/>
      </w:pPr>
      <w:r>
        <w:t xml:space="preserve">Order management, returns and refunds workflows</w:t>
      </w:r>
    </w:p>
    <w:p>
      <w:pPr>
        <w:pStyle w:val="ListParagraph"/>
        <w:numPr>
          <w:ilvl w:val="0"/>
          <w:numId w:val="2"/>
        </w:numPr>
        <w:spacing w:after="50" w:line="260"/>
      </w:pPr>
      <w:r>
        <w:t xml:space="preserve">Supply-chain module: real-time inventory, multi-warehouse stock, reorder alerts, fulfilment &amp; courier allocation</w:t>
      </w:r>
    </w:p>
    <w:p>
      <w:pPr>
        <w:pStyle w:val="ListParagraph"/>
        <w:numPr>
          <w:ilvl w:val="0"/>
          <w:numId w:val="2"/>
        </w:numPr>
        <w:spacing w:after="50" w:line="260"/>
      </w:pPr>
      <w:r>
        <w:t xml:space="preserve">Integrations: payment gateway, logistics/shipping, SMS/WhatsApp/email, ERP/CRM</w:t>
      </w:r>
    </w:p>
    <w:p>
      <w:pPr>
        <w:pStyle w:val="ListParagraph"/>
        <w:numPr>
          <w:ilvl w:val="0"/>
          <w:numId w:val="2"/>
        </w:numPr>
        <w:spacing w:after="50" w:line="260"/>
      </w:pPr>
      <w:r>
        <w:t xml:space="preserve">Admin &amp; operations console with analytics dashboards</w:t>
      </w:r>
    </w:p>
    <w:p>
      <w:pPr>
        <w:pStyle w:val="ListParagraph"/>
        <w:numPr>
          <w:ilvl w:val="0"/>
          <w:numId w:val="2"/>
        </w:numPr>
        <w:spacing w:after="50" w:line="260"/>
      </w:pPr>
      <w:r>
        <w:t xml:space="preserve">Data migration from the legacy platform</w:t>
      </w:r>
    </w:p>
    <w:p>
      <w:pPr>
        <w:pStyle w:val="ListParagraph"/>
        <w:numPr>
          <w:ilvl w:val="0"/>
          <w:numId w:val="2"/>
        </w:numPr>
        <w:spacing w:after="50" w:line="260"/>
      </w:pPr>
      <w:r>
        <w:t xml:space="preserve">Marketing launch (digital campaigns, ASO/SEO, app-store release)</w:t>
      </w:r>
    </w:p>
    <w:p>
      <w:pPr>
        <w:pStyle w:val="Heading3"/>
      </w:pPr>
      <w:r>
        <w:t xml:space="preserve">Out of Scope (Phase 1)</w:t>
      </w:r>
    </w:p>
    <w:p>
      <w:pPr>
        <w:pStyle w:val="ListParagraph"/>
        <w:numPr>
          <w:ilvl w:val="0"/>
          <w:numId w:val="2"/>
        </w:numPr>
        <w:spacing w:after="50" w:line="260"/>
      </w:pPr>
      <w:r>
        <w:t xml:space="preserve">Third-party seller marketplace / multi-vendor onboarding (planned for Phase 2)</w:t>
      </w:r>
    </w:p>
    <w:p>
      <w:pPr>
        <w:pStyle w:val="ListParagraph"/>
        <w:numPr>
          <w:ilvl w:val="0"/>
          <w:numId w:val="2"/>
        </w:numPr>
        <w:spacing w:after="50" w:line="260"/>
      </w:pPr>
      <w:r>
        <w:t xml:space="preserve">International / cross-border commerce and multi-currency settlement</w:t>
      </w:r>
    </w:p>
    <w:p>
      <w:pPr>
        <w:pStyle w:val="ListParagraph"/>
        <w:numPr>
          <w:ilvl w:val="0"/>
          <w:numId w:val="2"/>
        </w:numPr>
        <w:spacing w:after="50" w:line="260"/>
      </w:pPr>
      <w:r>
        <w:t xml:space="preserve">Physical warehouse construction or hardware procurement for warehouses</w:t>
      </w:r>
    </w:p>
    <w:p>
      <w:pPr>
        <w:pStyle w:val="ListParagraph"/>
        <w:numPr>
          <w:ilvl w:val="0"/>
          <w:numId w:val="2"/>
        </w:numPr>
        <w:spacing w:after="50" w:line="260"/>
      </w:pPr>
      <w:r>
        <w:t xml:space="preserve">Offline / in-store POS integration</w:t>
      </w:r>
    </w:p>
    <w:p>
      <w:pPr>
        <w:pStyle w:val="ListParagraph"/>
        <w:numPr>
          <w:ilvl w:val="0"/>
          <w:numId w:val="2"/>
        </w:numPr>
        <w:spacing w:after="50" w:line="260"/>
      </w:pPr>
      <w:r>
        <w:t xml:space="preserve">Net-new ERP implementation (we integrate with the existing ERP)</w:t>
      </w:r>
    </w:p>
    <w:p>
      <w:pPr>
        <w:pStyle w:val="Heading2"/>
      </w:pPr>
      <w:r>
        <w:t xml:space="preserve">2.4  Key Deliverables</w:t>
      </w:r>
    </w:p>
    <w:p>
      <w:pPr>
        <w:pStyle w:val="ListParagraph"/>
        <w:numPr>
          <w:ilvl w:val="0"/>
          <w:numId w:val="2"/>
        </w:numPr>
        <w:spacing w:after="50" w:line="260"/>
      </w:pPr>
      <w:r>
        <w:t xml:space="preserve">Project charter, plan and governance framework</w:t>
      </w:r>
    </w:p>
    <w:p>
      <w:pPr>
        <w:pStyle w:val="ListParagraph"/>
        <w:numPr>
          <w:ilvl w:val="0"/>
          <w:numId w:val="2"/>
        </w:numPr>
        <w:spacing w:after="50" w:line="260"/>
      </w:pPr>
      <w:r>
        <w:t xml:space="preserve">Business Requirements, SRS and FRD with a Requirements Traceability Matrix</w:t>
      </w:r>
    </w:p>
    <w:p>
      <w:pPr>
        <w:pStyle w:val="ListParagraph"/>
        <w:numPr>
          <w:ilvl w:val="0"/>
          <w:numId w:val="2"/>
        </w:numPr>
        <w:spacing w:after="50" w:line="260"/>
      </w:pPr>
      <w:r>
        <w:t xml:space="preserve">UX wireframes, prototype and design system</w:t>
      </w:r>
    </w:p>
    <w:p>
      <w:pPr>
        <w:pStyle w:val="ListParagraph"/>
        <w:numPr>
          <w:ilvl w:val="0"/>
          <w:numId w:val="2"/>
        </w:numPr>
        <w:spacing w:after="50" w:line="260"/>
      </w:pPr>
      <w:r>
        <w:t xml:space="preserve">Working platform: web, iOS, Android, admin console and supply-chain module</w:t>
      </w:r>
    </w:p>
    <w:p>
      <w:pPr>
        <w:pStyle w:val="ListParagraph"/>
        <w:numPr>
          <w:ilvl w:val="0"/>
          <w:numId w:val="2"/>
        </w:numPr>
        <w:spacing w:after="50" w:line="260"/>
      </w:pPr>
      <w:r>
        <w:t xml:space="preserve">Test artefacts, security clearance (VAPT) and UAT sign-off</w:t>
      </w:r>
    </w:p>
    <w:p>
      <w:pPr>
        <w:pStyle w:val="ListParagraph"/>
        <w:numPr>
          <w:ilvl w:val="0"/>
          <w:numId w:val="2"/>
        </w:numPr>
        <w:spacing w:after="50" w:line="260"/>
      </w:pPr>
      <w:r>
        <w:t xml:space="preserve">Deployed production environment with monitoring and runbooks</w:t>
      </w:r>
    </w:p>
    <w:p>
      <w:pPr>
        <w:pStyle w:val="ListParagraph"/>
        <w:numPr>
          <w:ilvl w:val="0"/>
          <w:numId w:val="2"/>
        </w:numPr>
        <w:spacing w:after="50" w:line="260"/>
      </w:pPr>
      <w:r>
        <w:t xml:space="preserve">Trained operations team and post-launch hypercare</w:t>
      </w:r>
    </w:p>
    <w:p>
      <w:pPr>
        <w:pStyle w:val="Heading2"/>
      </w:pPr>
      <w:r>
        <w:t xml:space="preserve">2.5  Stakeholders</w:t>
      </w:r>
    </w:p>
    <w:tbl>
      <w:tblPr>
        <w:tblW w:type="dxa" w:w="9027"/>
        <w:tblBorders>
          <w:top w:val="single" w:color="B7C3D6" w:sz="1"/>
          <w:left w:val="single" w:color="B7C3D6" w:sz="1"/>
          <w:bottom w:val="single" w:color="B7C3D6" w:sz="1"/>
          <w:right w:val="single" w:color="B7C3D6" w:sz="1"/>
          <w:insideH w:val="single" w:color="B7C3D6" w:sz="1"/>
          <w:insideV w:val="single" w:color="B7C3D6" w:sz="1"/>
        </w:tblBorders>
      </w:tblPr>
      <w:tblGrid>
        <w:gridCol w:w="2708"/>
        <w:gridCol w:w="4694"/>
        <w:gridCol w:w="1625"/>
      </w:tblGrid>
      <w:tr>
        <w:trPr>
          <w:tblHeader/>
        </w:trPr>
        <w:tc>
          <w:tcPr>
            <w:tcW w:type="dxa" w:w="2708"/>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Stakeholder</w:t>
            </w:r>
          </w:p>
        </w:tc>
        <w:tc>
          <w:tcPr>
            <w:tcW w:type="dxa" w:w="4694"/>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Role / Interest</w:t>
            </w:r>
          </w:p>
        </w:tc>
        <w:tc>
          <w:tcPr>
            <w:tcW w:type="dxa" w:w="162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Influence</w:t>
            </w:r>
          </w:p>
        </w:tc>
      </w:tr>
      <w:tr>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Executive Sponsor (CEO/COO)</w:t>
            </w:r>
          </w:p>
        </w:tc>
        <w:tc>
          <w:tcPr>
            <w:tcW w:type="dxa" w:w="469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Funds the programme; owns business outcomes</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High</w:t>
            </w:r>
          </w:p>
        </w:tc>
      </w:tr>
      <w:tr>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VP E-Commerce / Product Owner</w:t>
            </w:r>
          </w:p>
        </w:tc>
        <w:tc>
          <w:tcPr>
            <w:tcW w:type="dxa" w:w="469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Owns product vision, prioritises backlog</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High</w:t>
            </w:r>
          </w:p>
        </w:tc>
      </w:tr>
      <w:tr>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Head of Supply Chain &amp; Operations</w:t>
            </w:r>
          </w:p>
        </w:tc>
        <w:tc>
          <w:tcPr>
            <w:tcW w:type="dxa" w:w="469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Inventory, fulfilment &amp; logistics requirements</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High</w:t>
            </w:r>
          </w:p>
        </w:tc>
      </w:tr>
      <w:tr>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Head of Marketing</w:t>
            </w:r>
          </w:p>
        </w:tc>
        <w:tc>
          <w:tcPr>
            <w:tcW w:type="dxa" w:w="469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Launch, campaigns, brand &amp; ASO/SEO</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Medium</w:t>
            </w:r>
          </w:p>
        </w:tc>
      </w:tr>
      <w:tr>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Finance Controller</w:t>
            </w:r>
          </w:p>
        </w:tc>
        <w:tc>
          <w:tcPr>
            <w:tcW w:type="dxa" w:w="469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Budget approval, GST &amp; quotation governance</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High</w:t>
            </w:r>
          </w:p>
        </w:tc>
      </w:tr>
      <w:tr>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IT / Security &amp; Compliance</w:t>
            </w:r>
          </w:p>
        </w:tc>
        <w:tc>
          <w:tcPr>
            <w:tcW w:type="dxa" w:w="469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Architecture, DPDP Act &amp; PCI-DSS compliance</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High</w:t>
            </w:r>
          </w:p>
        </w:tc>
      </w:tr>
      <w:tr>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Customer Service Lead</w:t>
            </w:r>
          </w:p>
        </w:tc>
        <w:tc>
          <w:tcPr>
            <w:tcW w:type="dxa" w:w="469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Returns, support workflows, CSAT</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Medium</w:t>
            </w:r>
          </w:p>
        </w:tc>
      </w:tr>
      <w:tr>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Customers (end users)</w:t>
            </w:r>
          </w:p>
        </w:tc>
        <w:tc>
          <w:tcPr>
            <w:tcW w:type="dxa" w:w="469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Usability, speed, trust, delivery experience</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High (indirect)</w:t>
            </w:r>
          </w:p>
        </w:tc>
      </w:tr>
      <w:tr>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Delivery Team</w:t>
            </w:r>
          </w:p>
        </w:tc>
        <w:tc>
          <w:tcPr>
            <w:tcW w:type="dxa" w:w="469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Designs, builds, tests and ships the platform</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High</w:t>
            </w:r>
          </w:p>
        </w:tc>
      </w:tr>
      <w:tr>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External Partners</w:t>
            </w:r>
          </w:p>
        </w:tc>
        <w:tc>
          <w:tcPr>
            <w:tcW w:type="dxa" w:w="469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Payment gateway, logistics, cloud vendors</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Medium</w:t>
            </w:r>
          </w:p>
        </w:tc>
      </w:tr>
    </w:tbl>
    <w:p>
      <w:pPr>
        <w:pStyle w:val="Heading2"/>
      </w:pPr>
      <w:r>
        <w:t xml:space="preserve">2.6  Success Criteria &amp; KPIs</w:t>
      </w:r>
    </w:p>
    <w:p>
      <w:pPr>
        <w:spacing w:after="120" w:line="264"/>
      </w:pPr>
      <w:r>
        <w:t xml:space="preserve">Project success is judged on outcome KPIs (measured for 90 days post-launch) and delivery KPIs (measured throughout):</w:t>
      </w:r>
    </w:p>
    <w:p>
      <w:pPr>
        <w:pStyle w:val="ListParagraph"/>
        <w:numPr>
          <w:ilvl w:val="0"/>
          <w:numId w:val="2"/>
        </w:numPr>
        <w:spacing w:after="50" w:line="260"/>
      </w:pPr>
      <w:r>
        <w:t xml:space="preserve">Outcome: conversion +20%, cart abandonment −15 pts, fulfilment time −25%, app store rating ≥ 4.3</w:t>
      </w:r>
    </w:p>
    <w:p>
      <w:pPr>
        <w:pStyle w:val="ListParagraph"/>
        <w:numPr>
          <w:ilvl w:val="0"/>
          <w:numId w:val="2"/>
        </w:numPr>
        <w:spacing w:after="50" w:line="260"/>
      </w:pPr>
      <w:r>
        <w:t xml:space="preserve">Experience: P95 page load ≤ 2.5 s, search latency ≤ 800 ms, checkout success rate ≥ 98%</w:t>
      </w:r>
    </w:p>
    <w:p>
      <w:pPr>
        <w:pStyle w:val="ListParagraph"/>
        <w:numPr>
          <w:ilvl w:val="0"/>
          <w:numId w:val="2"/>
        </w:numPr>
        <w:spacing w:after="50" w:line="260"/>
      </w:pPr>
      <w:r>
        <w:t xml:space="preserve">Delivery: schedule &amp; cost variance within ±5%, zero open P1/P2 defects at go-live, ≥ 90% requirements traced</w:t>
      </w:r>
    </w:p>
    <w:p>
      <w:pPr>
        <w:pStyle w:val="ListParagraph"/>
        <w:numPr>
          <w:ilvl w:val="0"/>
          <w:numId w:val="2"/>
        </w:numPr>
        <w:spacing w:after="50" w:line="260"/>
      </w:pPr>
      <w:r>
        <w:t xml:space="preserve">Adoption: ≥ 60% of orders via mobile within 90 days; CSAT ≥ 4.2/5</w:t>
      </w:r>
    </w:p>
    <w:p>
      <w:pPr>
        <w:pStyle w:val="Heading2"/>
      </w:pPr>
      <w:r>
        <w:t xml:space="preserve">2.7  Assumptions &amp; Constraints</w:t>
      </w:r>
    </w:p>
    <w:p>
      <w:pPr>
        <w:pStyle w:val="Heading3"/>
      </w:pPr>
      <w:r>
        <w:t xml:space="preserve">Assumptions</w:t>
      </w:r>
    </w:p>
    <w:p>
      <w:pPr>
        <w:pStyle w:val="ListParagraph"/>
        <w:numPr>
          <w:ilvl w:val="0"/>
          <w:numId w:val="2"/>
        </w:numPr>
        <w:spacing w:after="50" w:line="260"/>
      </w:pPr>
      <w:r>
        <w:t xml:space="preserve">Legacy product, customer and order data is accessible and reasonably clean for migration</w:t>
      </w:r>
    </w:p>
    <w:p>
      <w:pPr>
        <w:pStyle w:val="ListParagraph"/>
        <w:numPr>
          <w:ilvl w:val="0"/>
          <w:numId w:val="2"/>
        </w:numPr>
        <w:spacing w:after="50" w:line="260"/>
      </w:pPr>
      <w:r>
        <w:t xml:space="preserve">Existing ERP exposes integration APIs</w:t>
      </w:r>
    </w:p>
    <w:p>
      <w:pPr>
        <w:pStyle w:val="ListParagraph"/>
        <w:numPr>
          <w:ilvl w:val="0"/>
          <w:numId w:val="2"/>
        </w:numPr>
        <w:spacing w:after="50" w:line="260"/>
      </w:pPr>
      <w:r>
        <w:t xml:space="preserve">Key business stakeholders are available for elicitation, reviews and UAT</w:t>
      </w:r>
    </w:p>
    <w:p>
      <w:pPr>
        <w:pStyle w:val="ListParagraph"/>
        <w:numPr>
          <w:ilvl w:val="0"/>
          <w:numId w:val="2"/>
        </w:numPr>
        <w:spacing w:after="50" w:line="260"/>
      </w:pPr>
      <w:r>
        <w:t xml:space="preserve">Cloud, payment and logistics partners are contracted before development begins</w:t>
      </w:r>
    </w:p>
    <w:p>
      <w:pPr>
        <w:pStyle w:val="Heading3"/>
      </w:pPr>
      <w:r>
        <w:t xml:space="preserve">Constraints</w:t>
      </w:r>
    </w:p>
    <w:p>
      <w:pPr>
        <w:pStyle w:val="ListParagraph"/>
        <w:numPr>
          <w:ilvl w:val="0"/>
          <w:numId w:val="2"/>
        </w:numPr>
        <w:spacing w:after="50" w:line="260"/>
      </w:pPr>
      <w:r>
        <w:t xml:space="preserve">Budget capped at the approved figure with an 8% management reserve</w:t>
      </w:r>
    </w:p>
    <w:p>
      <w:pPr>
        <w:pStyle w:val="ListParagraph"/>
        <w:numPr>
          <w:ilvl w:val="0"/>
          <w:numId w:val="2"/>
        </w:numPr>
        <w:spacing w:after="50" w:line="260"/>
      </w:pPr>
      <w:r>
        <w:t xml:space="preserve">Go-live must precede the festive sales season to capture peak demand</w:t>
      </w:r>
    </w:p>
    <w:p>
      <w:pPr>
        <w:pStyle w:val="ListParagraph"/>
        <w:numPr>
          <w:ilvl w:val="0"/>
          <w:numId w:val="2"/>
        </w:numPr>
        <w:spacing w:after="50" w:line="260"/>
      </w:pPr>
      <w:r>
        <w:t xml:space="preserve">Must comply with India’s DPDP Act 2023 and PCI-DSS for card data</w:t>
      </w:r>
    </w:p>
    <w:p>
      <w:pPr>
        <w:pStyle w:val="ListParagraph"/>
        <w:numPr>
          <w:ilvl w:val="0"/>
          <w:numId w:val="2"/>
        </w:numPr>
        <w:spacing w:after="50" w:line="260"/>
      </w:pPr>
      <w:r>
        <w:t xml:space="preserve">GST-compliant invoicing and pricing required across the platform</w:t>
      </w:r>
    </w:p>
    <w:p>
      <w:pPr>
        <w:pStyle w:val="Heading1"/>
      </w:pPr>
      <w:r>
        <w:t xml:space="preserve">3.  High-Level Timeline &amp; Milestones</w:t>
      </w:r>
    </w:p>
    <w:p>
      <w:pPr>
        <w:spacing w:after="120" w:line="264"/>
      </w:pPr>
      <w:r>
        <w:t xml:space="preserve">Project Horizon runs for 11 months in overlapping phases delivered via two-week sprints. The detailed Work Breakdown Structure, Gantt chart and RACI matrix are provided in the companion file Project_Horizon_Timeline_and_Tasks.xlsx. Milestones act as stage gates: each must meet its exit criteria before the next funding tranche is released.</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3069"/>
        <w:gridCol w:w="1444"/>
        <w:gridCol w:w="4513"/>
      </w:tblGrid>
      <w:tr>
        <w:trPr>
          <w:tblHeader/>
        </w:trPr>
        <w:tc>
          <w:tcPr>
            <w:tcW w:type="dxa" w:w="3069"/>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Milestone</w:t>
            </w:r>
          </w:p>
        </w:tc>
        <w:tc>
          <w:tcPr>
            <w:tcW w:type="dxa" w:w="1444"/>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Target</w:t>
            </w:r>
          </w:p>
        </w:tc>
        <w:tc>
          <w:tcPr>
            <w:tcW w:type="dxa" w:w="4513"/>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Gate / Exit Criteria</w:t>
            </w:r>
          </w:p>
        </w:tc>
      </w:tr>
      <w:tr>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M0 – Mobilization &amp; Charter</w:t>
            </w:r>
          </w:p>
        </w:tc>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Month 1</w:t>
            </w:r>
          </w:p>
        </w:tc>
        <w:tc>
          <w:tcPr>
            <w:tcW w:type="dxa" w:w="451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Charter approved, team onboarded, governance live</w:t>
            </w:r>
          </w:p>
        </w:tc>
      </w:tr>
      <w:tr>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M1 – Requirements Baseline</w:t>
            </w:r>
          </w:p>
        </w:tc>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Month 2.5</w:t>
            </w:r>
          </w:p>
        </w:tc>
        <w:tc>
          <w:tcPr>
            <w:tcW w:type="dxa" w:w="451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 FRD, backlog &amp; RTM signed off</w:t>
            </w:r>
          </w:p>
        </w:tc>
      </w:tr>
      <w:tr>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M2 – Design &amp; Prototype Approved</w:t>
            </w:r>
          </w:p>
        </w:tc>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Month 3.5</w:t>
            </w:r>
          </w:p>
        </w:tc>
        <w:tc>
          <w:tcPr>
            <w:tcW w:type="dxa" w:w="451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Design system + clickable prototype approved</w:t>
            </w:r>
          </w:p>
        </w:tc>
      </w:tr>
      <w:tr>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M3 – Architecture &amp; CI/CD Ready</w:t>
            </w:r>
          </w:p>
        </w:tc>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Month 4</w:t>
            </w:r>
          </w:p>
        </w:tc>
        <w:tc>
          <w:tcPr>
            <w:tcW w:type="dxa" w:w="451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Architecture approved, environments &amp; pipeline live</w:t>
            </w:r>
          </w:p>
        </w:tc>
      </w:tr>
      <w:tr>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M4 – MVP Feature-Complete</w:t>
            </w:r>
          </w:p>
        </w:tc>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Month 6</w:t>
            </w:r>
          </w:p>
        </w:tc>
        <w:tc>
          <w:tcPr>
            <w:tcW w:type="dxa" w:w="451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Core commerce flows demoable in staging</w:t>
            </w:r>
          </w:p>
        </w:tc>
      </w:tr>
      <w:tr>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M5 – Build Complete &amp; Integrated</w:t>
            </w:r>
          </w:p>
        </w:tc>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Month 8</w:t>
            </w:r>
          </w:p>
        </w:tc>
        <w:tc>
          <w:tcPr>
            <w:tcW w:type="dxa" w:w="451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All features + payments/logistics/ERP integrated</w:t>
            </w:r>
          </w:p>
        </w:tc>
      </w:tr>
      <w:tr>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M6 – System &amp; Performance Test Exit</w:t>
            </w:r>
          </w:p>
        </w:tc>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Month 9</w:t>
            </w:r>
          </w:p>
        </w:tc>
        <w:tc>
          <w:tcPr>
            <w:tcW w:type="dxa" w:w="451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Test exit met, 0 P1/P2 defects, NFRs verified</w:t>
            </w:r>
          </w:p>
        </w:tc>
      </w:tr>
      <w:tr>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M7 – UAT &amp; Security Clearance</w:t>
            </w:r>
          </w:p>
        </w:tc>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Month 10</w:t>
            </w:r>
          </w:p>
        </w:tc>
        <w:tc>
          <w:tcPr>
            <w:tcW w:type="dxa" w:w="451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UAT accepted, VAPT closed, PCI-DSS readiness</w:t>
            </w:r>
          </w:p>
        </w:tc>
      </w:tr>
      <w:tr>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M8 – Go-Live</w:t>
            </w:r>
          </w:p>
        </w:tc>
        <w:tc>
          <w:tcPr>
            <w:tcW w:type="dxa" w:w="144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Month 11</w:t>
            </w:r>
          </w:p>
        </w:tc>
        <w:tc>
          <w:tcPr>
            <w:tcW w:type="dxa" w:w="451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Production launch; web + apps live; marketing on</w:t>
            </w:r>
          </w:p>
        </w:tc>
      </w:tr>
      <w:tr>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M9 – Hypercare Exit &amp; Closure</w:t>
            </w:r>
          </w:p>
        </w:tc>
        <w:tc>
          <w:tcPr>
            <w:tcW w:type="dxa" w:w="144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Month 11</w:t>
            </w:r>
          </w:p>
        </w:tc>
        <w:tc>
          <w:tcPr>
            <w:tcW w:type="dxa" w:w="451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Stabilised ops, handover &amp; sign-off complete</w:t>
            </w:r>
          </w:p>
        </w:tc>
      </w:tr>
    </w:tbl>
    <w:p>
      <w:pPr>
        <w:pStyle w:val="Heading1"/>
      </w:pPr>
      <w:r>
        <w:t xml:space="preserve">4.  Requirements Analysis</w:t>
      </w:r>
    </w:p>
    <w:p>
      <w:pPr>
        <w:spacing w:after="120" w:line="264"/>
      </w:pPr>
      <w:r>
        <w:t xml:space="preserve">Requirements are elicited through stakeholder interviews, workshops, competitor and journey analysis, and review of legacy-platform analytics. They are documented at two levels of detail: the Software Requirements Specification (SRS-HRZN-001) captures the full system view including non-functional requirements, and the Functional Requirements Document (FRD-HRZN-001) details module-level behaviour, business rules and acceptance criteria. Both are provided as separate files, alongside the wireframe set and the task-management sheet.</w:t>
      </w:r>
    </w:p>
    <w:p>
      <w:pPr>
        <w:pStyle w:val="Heading2"/>
      </w:pPr>
      <w:r>
        <w:t xml:space="preserve">4.1  Key Stakeholder Requirements</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2166"/>
        <w:gridCol w:w="6860"/>
      </w:tblGrid>
      <w:tr>
        <w:trPr>
          <w:tblHeader/>
        </w:trPr>
        <w:tc>
          <w:tcPr>
            <w:tcW w:type="dxa" w:w="2166"/>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Stakeholder</w:t>
            </w:r>
          </w:p>
        </w:tc>
        <w:tc>
          <w:tcPr>
            <w:tcW w:type="dxa" w:w="6860"/>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Representative Requirements</w:t>
            </w:r>
          </w:p>
        </w:tc>
      </w:tr>
      <w:tr>
        <w:tc>
          <w:tcPr>
            <w:tcW w:type="dxa" w:w="216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Customers</w:t>
            </w:r>
          </w:p>
        </w:tc>
        <w:tc>
          <w:tcPr>
            <w:tcW w:type="dxa" w:w="6860"/>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Fast search, easy mobile checkout, multiple payment options incl. UPI &amp; COD, accurate delivery ETA, simple returns</w:t>
            </w:r>
          </w:p>
        </w:tc>
      </w:tr>
      <w:tr>
        <w:tc>
          <w:tcPr>
            <w:tcW w:type="dxa" w:w="216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Product Owner</w:t>
            </w:r>
          </w:p>
        </w:tc>
        <w:tc>
          <w:tcPr>
            <w:tcW w:type="dxa" w:w="6860"/>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Personalisation, merchandising controls, A/B testing, analytics on funnel &amp; conversion</w:t>
            </w:r>
          </w:p>
        </w:tc>
      </w:tr>
      <w:tr>
        <w:tc>
          <w:tcPr>
            <w:tcW w:type="dxa" w:w="216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Supply Chain</w:t>
            </w:r>
          </w:p>
        </w:tc>
        <w:tc>
          <w:tcPr>
            <w:tcW w:type="dxa" w:w="6860"/>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Real-time multi-warehouse inventory, reorder alerts, courier allocation, fewer oversells</w:t>
            </w:r>
          </w:p>
        </w:tc>
      </w:tr>
      <w:tr>
        <w:tc>
          <w:tcPr>
            <w:tcW w:type="dxa" w:w="216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Marketing</w:t>
            </w:r>
          </w:p>
        </w:tc>
        <w:tc>
          <w:tcPr>
            <w:tcW w:type="dxa" w:w="6860"/>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Coupon/promotion engine, campaign banners, ASO/SEO, referral &amp; retention tools</w:t>
            </w:r>
          </w:p>
        </w:tc>
      </w:tr>
      <w:tr>
        <w:tc>
          <w:tcPr>
            <w:tcW w:type="dxa" w:w="216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Finance</w:t>
            </w:r>
          </w:p>
        </w:tc>
        <w:tc>
          <w:tcPr>
            <w:tcW w:type="dxa" w:w="6860"/>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GST-compliant invoicing, reconciliation, refund control, audit trail</w:t>
            </w:r>
          </w:p>
        </w:tc>
      </w:tr>
      <w:tr>
        <w:tc>
          <w:tcPr>
            <w:tcW w:type="dxa" w:w="216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Security/Compliance</w:t>
            </w:r>
          </w:p>
        </w:tc>
        <w:tc>
          <w:tcPr>
            <w:tcW w:type="dxa" w:w="6860"/>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DPDP Act compliance, PCI-DSS, role-based access, encryption, audit logging</w:t>
            </w:r>
          </w:p>
        </w:tc>
      </w:tr>
      <w:tr>
        <w:tc>
          <w:tcPr>
            <w:tcW w:type="dxa" w:w="216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Customer Service</w:t>
            </w:r>
          </w:p>
        </w:tc>
        <w:tc>
          <w:tcPr>
            <w:tcW w:type="dxa" w:w="6860"/>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Order lookup, returns workflow, refund status, customer 360 view</w:t>
            </w:r>
          </w:p>
        </w:tc>
      </w:tr>
    </w:tbl>
    <w:p>
      <w:pPr>
        <w:pStyle w:val="Heading2"/>
      </w:pPr>
      <w:r>
        <w:t xml:space="preserve">4.2  Requirements Traceability</w:t>
      </w:r>
    </w:p>
    <w:p>
      <w:pPr>
        <w:spacing w:after="120" w:line="264"/>
      </w:pPr>
      <w:r>
        <w:t xml:space="preserve">Every requirement carries a unique ID (e.g. FRD-5.3) and is traced from business objective → SRS/FRD requirement → wireframe annotation → design → test case. The Requirements Traceability Matrix (maintained in the task sheet) ensures nothing is built that isn’t needed and nothing needed is missed, and that every requirement is verified before go-live.</w:t>
      </w:r>
    </w:p>
    <w:p>
      <w:pPr>
        <w:pStyle w:val="Heading1"/>
      </w:pPr>
      <w:r>
        <w:t xml:space="preserve">5.  Budget &amp; Quotation Summary</w:t>
      </w:r>
    </w:p>
    <w:p>
      <w:pPr>
        <w:spacing w:after="120" w:line="264"/>
      </w:pPr>
      <w:r>
        <w:t xml:space="preserve">The full cost model, phase-wise quotation and milestone-linked payment schedule are in Project_Horizon_Budget_and_Quotation.xlsx. The budget is built bottom-up from a resource plan (person-months × blended India CTC rates) plus non-personnel costs, an 8% management reserve, and 18% GST shown in the client-facing quotation (recoverable as input tax credit).</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5235"/>
        <w:gridCol w:w="2166"/>
        <w:gridCol w:w="1625"/>
      </w:tblGrid>
      <w:tr>
        <w:trPr>
          <w:tblHeader/>
        </w:trPr>
        <w:tc>
          <w:tcPr>
            <w:tcW w:type="dxa" w:w="523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Cost Block</w:t>
            </w:r>
          </w:p>
        </w:tc>
        <w:tc>
          <w:tcPr>
            <w:tcW w:type="dxa" w:w="2166"/>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Amount (₹)</w:t>
            </w:r>
          </w:p>
        </w:tc>
        <w:tc>
          <w:tcPr>
            <w:tcW w:type="dxa" w:w="162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 of Pre-Tax</w:t>
            </w:r>
          </w:p>
        </w:tc>
      </w:tr>
      <w:tr>
        <w:tc>
          <w:tcPr>
            <w:tcW w:type="dxa" w:w="523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A. Personnel (delivery team)</w:t>
            </w:r>
          </w:p>
        </w:tc>
        <w:tc>
          <w:tcPr>
            <w:tcW w:type="dxa" w:w="216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2,82,80,000</w:t>
            </w:r>
          </w:p>
        </w:tc>
        <w:tc>
          <w:tcPr>
            <w:tcW w:type="dxa" w:w="162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69.9%</w:t>
            </w:r>
          </w:p>
        </w:tc>
      </w:tr>
      <w:tr>
        <w:tc>
          <w:tcPr>
            <w:tcW w:type="dxa" w:w="523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B. Non-personnel (infra, tools, integrations, marketing)</w:t>
            </w:r>
          </w:p>
        </w:tc>
        <w:tc>
          <w:tcPr>
            <w:tcW w:type="dxa" w:w="216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92,00,000</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22.7%</w:t>
            </w:r>
          </w:p>
        </w:tc>
      </w:tr>
      <w:tr>
        <w:tc>
          <w:tcPr>
            <w:tcW w:type="dxa" w:w="5235"/>
            <w:shd w:fill="FFFFFF" w:val="clear"/>
            <w:tcMar>
              <w:top w:type="dxa" w:w="60"/>
              <w:left w:type="dxa" w:w="110"/>
              <w:bottom w:type="dxa" w:w="60"/>
              <w:right w:type="dxa" w:w="110"/>
            </w:tcMar>
            <w:vAlign w:val="center"/>
          </w:tcPr>
          <w:p>
            <w:pPr>
              <w:spacing w:after="0" w:line="248"/>
              <w:jc w:val="left"/>
            </w:pPr>
            <w:r>
              <w:rPr>
                <w:b/>
                <w:bCs/>
                <w:sz w:val="19"/>
                <w:szCs w:val="19"/>
              </w:rPr>
              <w:t xml:space="preserve">Sub-Total (A + B)</w:t>
            </w:r>
          </w:p>
        </w:tc>
        <w:tc>
          <w:tcPr>
            <w:tcW w:type="dxa" w:w="2166"/>
            <w:shd w:fill="FFFFFF" w:val="clear"/>
            <w:tcMar>
              <w:top w:type="dxa" w:w="60"/>
              <w:left w:type="dxa" w:w="110"/>
              <w:bottom w:type="dxa" w:w="60"/>
              <w:right w:type="dxa" w:w="110"/>
            </w:tcMar>
            <w:vAlign w:val="center"/>
          </w:tcPr>
          <w:p>
            <w:pPr>
              <w:spacing w:after="0" w:line="248"/>
              <w:jc w:val="left"/>
            </w:pPr>
            <w:r>
              <w:rPr>
                <w:b/>
                <w:bCs/>
                <w:sz w:val="19"/>
                <w:szCs w:val="19"/>
              </w:rPr>
              <w:t xml:space="preserve">3,74,80,000</w:t>
            </w:r>
          </w:p>
        </w:tc>
        <w:tc>
          <w:tcPr>
            <w:tcW w:type="dxa" w:w="1625"/>
            <w:shd w:fill="FFFFFF" w:val="clear"/>
            <w:tcMar>
              <w:top w:type="dxa" w:w="60"/>
              <w:left w:type="dxa" w:w="110"/>
              <w:bottom w:type="dxa" w:w="60"/>
              <w:right w:type="dxa" w:w="110"/>
            </w:tcMar>
            <w:vAlign w:val="center"/>
          </w:tcPr>
          <w:p>
            <w:pPr>
              <w:spacing w:after="0" w:line="248"/>
              <w:jc w:val="left"/>
            </w:pPr>
            <w:r>
              <w:rPr>
                <w:b/>
                <w:bCs/>
                <w:sz w:val="19"/>
                <w:szCs w:val="19"/>
              </w:rPr>
              <w:t xml:space="preserve">92.6%</w:t>
            </w:r>
          </w:p>
        </w:tc>
      </w:tr>
      <w:tr>
        <w:tc>
          <w:tcPr>
            <w:tcW w:type="dxa" w:w="523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Contingency / Management Reserve @ 8%</w:t>
            </w:r>
          </w:p>
        </w:tc>
        <w:tc>
          <w:tcPr>
            <w:tcW w:type="dxa" w:w="216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29,98,400</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7.4%</w:t>
            </w:r>
          </w:p>
        </w:tc>
      </w:tr>
      <w:tr>
        <w:tc>
          <w:tcPr>
            <w:tcW w:type="dxa" w:w="5235"/>
            <w:shd w:fill="DDE6F2" w:val="clear"/>
            <w:tcMar>
              <w:top w:type="dxa" w:w="60"/>
              <w:left w:type="dxa" w:w="110"/>
              <w:bottom w:type="dxa" w:w="60"/>
              <w:right w:type="dxa" w:w="110"/>
            </w:tcMar>
            <w:vAlign w:val="center"/>
          </w:tcPr>
          <w:p>
            <w:pPr>
              <w:spacing w:after="0" w:line="248"/>
              <w:jc w:val="left"/>
            </w:pPr>
            <w:r>
              <w:rPr>
                <w:b/>
                <w:bCs/>
                <w:sz w:val="19"/>
                <w:szCs w:val="19"/>
              </w:rPr>
              <w:t xml:space="preserve">TOTAL PROJECT BUDGET (Pre-Tax)</w:t>
            </w:r>
          </w:p>
        </w:tc>
        <w:tc>
          <w:tcPr>
            <w:tcW w:type="dxa" w:w="2166"/>
            <w:shd w:fill="DDE6F2" w:val="clear"/>
            <w:tcMar>
              <w:top w:type="dxa" w:w="60"/>
              <w:left w:type="dxa" w:w="110"/>
              <w:bottom w:type="dxa" w:w="60"/>
              <w:right w:type="dxa" w:w="110"/>
            </w:tcMar>
            <w:vAlign w:val="center"/>
          </w:tcPr>
          <w:p>
            <w:pPr>
              <w:spacing w:after="0" w:line="248"/>
              <w:jc w:val="left"/>
            </w:pPr>
            <w:r>
              <w:rPr>
                <w:b/>
                <w:bCs/>
                <w:sz w:val="19"/>
                <w:szCs w:val="19"/>
              </w:rPr>
              <w:t xml:space="preserve">4,04,78,400</w:t>
            </w:r>
          </w:p>
        </w:tc>
        <w:tc>
          <w:tcPr>
            <w:tcW w:type="dxa" w:w="1625"/>
            <w:shd w:fill="DDE6F2" w:val="clear"/>
            <w:tcMar>
              <w:top w:type="dxa" w:w="60"/>
              <w:left w:type="dxa" w:w="110"/>
              <w:bottom w:type="dxa" w:w="60"/>
              <w:right w:type="dxa" w:w="110"/>
            </w:tcMar>
            <w:vAlign w:val="center"/>
          </w:tcPr>
          <w:p>
            <w:pPr>
              <w:spacing w:after="0" w:line="248"/>
              <w:jc w:val="left"/>
            </w:pPr>
            <w:r>
              <w:rPr>
                <w:b/>
                <w:bCs/>
                <w:sz w:val="19"/>
                <w:szCs w:val="19"/>
              </w:rPr>
              <w:t xml:space="preserve">100%</w:t>
            </w:r>
          </w:p>
        </w:tc>
      </w:tr>
      <w:tr>
        <w:tc>
          <w:tcPr>
            <w:tcW w:type="dxa" w:w="523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GST @ 18%</w:t>
            </w:r>
          </w:p>
        </w:tc>
        <w:tc>
          <w:tcPr>
            <w:tcW w:type="dxa" w:w="216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72,86,112</w:t>
            </w:r>
          </w:p>
        </w:tc>
        <w:tc>
          <w:tcPr>
            <w:tcW w:type="dxa" w:w="162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w:t>
            </w:r>
          </w:p>
        </w:tc>
      </w:tr>
      <w:tr>
        <w:tc>
          <w:tcPr>
            <w:tcW w:type="dxa" w:w="5235"/>
            <w:shd w:fill="FFF2CC" w:val="clear"/>
            <w:tcMar>
              <w:top w:type="dxa" w:w="60"/>
              <w:left w:type="dxa" w:w="110"/>
              <w:bottom w:type="dxa" w:w="60"/>
              <w:right w:type="dxa" w:w="110"/>
            </w:tcMar>
            <w:vAlign w:val="center"/>
          </w:tcPr>
          <w:p>
            <w:pPr>
              <w:spacing w:after="0" w:line="248"/>
              <w:jc w:val="left"/>
            </w:pPr>
            <w:r>
              <w:rPr>
                <w:b/>
                <w:bCs/>
                <w:sz w:val="19"/>
                <w:szCs w:val="19"/>
              </w:rPr>
              <w:t xml:space="preserve">GRAND TOTAL QUOTATION (Incl. GST)</w:t>
            </w:r>
          </w:p>
        </w:tc>
        <w:tc>
          <w:tcPr>
            <w:tcW w:type="dxa" w:w="2166"/>
            <w:shd w:fill="FFF2CC" w:val="clear"/>
            <w:tcMar>
              <w:top w:type="dxa" w:w="60"/>
              <w:left w:type="dxa" w:w="110"/>
              <w:bottom w:type="dxa" w:w="60"/>
              <w:right w:type="dxa" w:w="110"/>
            </w:tcMar>
            <w:vAlign w:val="center"/>
          </w:tcPr>
          <w:p>
            <w:pPr>
              <w:spacing w:after="0" w:line="248"/>
              <w:jc w:val="left"/>
            </w:pPr>
            <w:r>
              <w:rPr>
                <w:b/>
                <w:bCs/>
                <w:sz w:val="19"/>
                <w:szCs w:val="19"/>
              </w:rPr>
              <w:t xml:space="preserve">4,77,64,512</w:t>
            </w:r>
          </w:p>
        </w:tc>
        <w:tc>
          <w:tcPr>
            <w:tcW w:type="dxa" w:w="1625"/>
            <w:shd w:fill="FFF2CC" w:val="clear"/>
            <w:tcMar>
              <w:top w:type="dxa" w:w="60"/>
              <w:left w:type="dxa" w:w="110"/>
              <w:bottom w:type="dxa" w:w="60"/>
              <w:right w:type="dxa" w:w="110"/>
            </w:tcMar>
            <w:vAlign w:val="center"/>
          </w:tcPr>
          <w:p>
            <w:pPr>
              <w:spacing w:after="0" w:line="248"/>
              <w:jc w:val="left"/>
            </w:pPr>
            <w:r>
              <w:rPr>
                <w:b w:val="false"/>
                <w:bCs w:val="false"/>
                <w:sz w:val="19"/>
                <w:szCs w:val="19"/>
              </w:rPr>
              <w:t xml:space="preserve">—</w:t>
            </w:r>
          </w:p>
        </w:tc>
      </w:tr>
    </w:tbl>
    <w:p>
      <w:pPr>
        <w:spacing w:after="60"/>
      </w:pPr>
      <w:r>
        <w:t xml:space="preserve"/>
      </w:r>
    </w:p>
    <w:p>
      <w:pPr>
        <w:pStyle w:val="Heading2"/>
      </w:pPr>
      <w:r>
        <w:t xml:space="preserve">5.1  Phase-wise Quotation (indicative)</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4513"/>
        <w:gridCol w:w="1805"/>
        <w:gridCol w:w="2708"/>
      </w:tblGrid>
      <w:tr>
        <w:trPr>
          <w:tblHeader/>
        </w:trPr>
        <w:tc>
          <w:tcPr>
            <w:tcW w:type="dxa" w:w="4513"/>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Phase</w:t>
            </w:r>
          </w:p>
        </w:tc>
        <w:tc>
          <w:tcPr>
            <w:tcW w:type="dxa" w:w="180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 of Budget</w:t>
            </w:r>
          </w:p>
        </w:tc>
        <w:tc>
          <w:tcPr>
            <w:tcW w:type="dxa" w:w="2708"/>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Phase Cost (₹)</w:t>
            </w:r>
          </w:p>
        </w:tc>
      </w:tr>
      <w:tr>
        <w:tc>
          <w:tcPr>
            <w:tcW w:type="dxa" w:w="451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Initiation &amp; Discovery</w:t>
            </w:r>
          </w:p>
        </w:tc>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4%</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16,19,136</w:t>
            </w:r>
          </w:p>
        </w:tc>
      </w:tr>
      <w:tr>
        <w:tc>
          <w:tcPr>
            <w:tcW w:type="dxa" w:w="451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Requirements &amp; Analysis</w:t>
            </w:r>
          </w:p>
        </w:tc>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7%</w:t>
            </w:r>
          </w:p>
        </w:tc>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28,33,488</w:t>
            </w:r>
          </w:p>
        </w:tc>
      </w:tr>
      <w:tr>
        <w:tc>
          <w:tcPr>
            <w:tcW w:type="dxa" w:w="451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UX / UI Design</w:t>
            </w:r>
          </w:p>
        </w:tc>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9%</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36,43,056</w:t>
            </w:r>
          </w:p>
        </w:tc>
      </w:tr>
      <w:tr>
        <w:tc>
          <w:tcPr>
            <w:tcW w:type="dxa" w:w="451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Architecture &amp; Environment Setup</w:t>
            </w:r>
          </w:p>
        </w:tc>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6%</w:t>
            </w:r>
          </w:p>
        </w:tc>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24,28,704</w:t>
            </w:r>
          </w:p>
        </w:tc>
      </w:tr>
      <w:tr>
        <w:tc>
          <w:tcPr>
            <w:tcW w:type="dxa" w:w="451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Core Platform Development</w:t>
            </w:r>
          </w:p>
        </w:tc>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34%</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1,37,62,656</w:t>
            </w:r>
          </w:p>
        </w:tc>
      </w:tr>
      <w:tr>
        <w:tc>
          <w:tcPr>
            <w:tcW w:type="dxa" w:w="451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Supply Chain &amp; Integrations</w:t>
            </w:r>
          </w:p>
        </w:tc>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10%</w:t>
            </w:r>
          </w:p>
        </w:tc>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40,47,840</w:t>
            </w:r>
          </w:p>
        </w:tc>
      </w:tr>
      <w:tr>
        <w:tc>
          <w:tcPr>
            <w:tcW w:type="dxa" w:w="451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Testing &amp; QA</w:t>
            </w:r>
          </w:p>
        </w:tc>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9%</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36,43,056</w:t>
            </w:r>
          </w:p>
        </w:tc>
      </w:tr>
      <w:tr>
        <w:tc>
          <w:tcPr>
            <w:tcW w:type="dxa" w:w="451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UAT, Security Audit &amp; Deployment</w:t>
            </w:r>
          </w:p>
        </w:tc>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7%</w:t>
            </w:r>
          </w:p>
        </w:tc>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28,33,488</w:t>
            </w:r>
          </w:p>
        </w:tc>
      </w:tr>
      <w:tr>
        <w:tc>
          <w:tcPr>
            <w:tcW w:type="dxa" w:w="451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Marketing &amp; Go-Live</w:t>
            </w:r>
          </w:p>
        </w:tc>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11%</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44,52,624</w:t>
            </w:r>
          </w:p>
        </w:tc>
      </w:tr>
      <w:tr>
        <w:tc>
          <w:tcPr>
            <w:tcW w:type="dxa" w:w="451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Hypercare &amp; Stabilization</w:t>
            </w:r>
          </w:p>
        </w:tc>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3%</w:t>
            </w:r>
          </w:p>
        </w:tc>
        <w:tc>
          <w:tcPr>
            <w:tcW w:type="dxa" w:w="2708"/>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12,14,352</w:t>
            </w:r>
          </w:p>
        </w:tc>
      </w:tr>
    </w:tbl>
    <w:p>
      <w:pPr>
        <w:spacing w:after="120" w:line="264"/>
      </w:pPr>
      <w:r>
        <w:rPr>
          <w:b/>
          <w:bCs/>
        </w:rPr>
        <w:t xml:space="preserve">Payment is milestone-linked</w:t>
      </w:r>
      <w:r>
        <w:t xml:space="preserve"> — funds are released only on acceptance of each gate (10% mobilization → 5% final acceptance), protecting the business from paying ahead of demonstrable value. The full schedule is in the workbook’s Payment Schedule sheet.</w:t>
      </w:r>
    </w:p>
    <w:p>
      <w:pPr>
        <w:pStyle w:val="Heading1"/>
      </w:pPr>
      <w:r>
        <w:t xml:space="preserve">6.  Risk Management</w:t>
      </w:r>
    </w:p>
    <w:p>
      <w:pPr>
        <w:spacing w:after="120" w:line="264"/>
      </w:pPr>
      <w:r>
        <w:t xml:space="preserve">Risks are logged in a living register scored by probability × impact (1–5 scale), assigned an owner, and reviewed every sprint. The top risks and responses:</w:t>
      </w:r>
    </w:p>
    <w:tbl>
      <w:tblPr>
        <w:tblW w:type="dxa" w:w="9027"/>
        <w:tblBorders>
          <w:top w:val="single" w:color="B7C3D6" w:sz="1"/>
          <w:left w:val="single" w:color="B7C3D6" w:sz="1"/>
          <w:bottom w:val="single" w:color="B7C3D6" w:sz="1"/>
          <w:right w:val="single" w:color="B7C3D6" w:sz="1"/>
          <w:insideH w:val="single" w:color="B7C3D6" w:sz="1"/>
          <w:insideV w:val="single" w:color="B7C3D6" w:sz="1"/>
        </w:tblBorders>
      </w:tblPr>
      <w:tblGrid>
        <w:gridCol w:w="632"/>
        <w:gridCol w:w="3069"/>
        <w:gridCol w:w="903"/>
        <w:gridCol w:w="4423"/>
      </w:tblGrid>
      <w:tr>
        <w:trPr>
          <w:tblHeader/>
        </w:trPr>
        <w:tc>
          <w:tcPr>
            <w:tcW w:type="dxa" w:w="632"/>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ID</w:t>
            </w:r>
          </w:p>
        </w:tc>
        <w:tc>
          <w:tcPr>
            <w:tcW w:type="dxa" w:w="3069"/>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Risk</w:t>
            </w:r>
          </w:p>
        </w:tc>
        <w:tc>
          <w:tcPr>
            <w:tcW w:type="dxa" w:w="903"/>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P×I</w:t>
            </w:r>
          </w:p>
        </w:tc>
        <w:tc>
          <w:tcPr>
            <w:tcW w:type="dxa" w:w="4423"/>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Response Strategy</w:t>
            </w:r>
          </w:p>
        </w:tc>
      </w:tr>
      <w:tr>
        <w:tc>
          <w:tcPr>
            <w:tcW w:type="dxa" w:w="63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R1</w:t>
            </w:r>
          </w:p>
        </w:tc>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Scope creep from evolving stakeholder demands</w:t>
            </w:r>
          </w:p>
        </w:tc>
        <w:tc>
          <w:tcPr>
            <w:tcW w:type="dxa" w:w="90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4×4</w:t>
            </w:r>
          </w:p>
        </w:tc>
        <w:tc>
          <w:tcPr>
            <w:tcW w:type="dxa" w:w="442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Mitigate — baselined scope, formal change control, prioritised backlog, MoSCoW</w:t>
            </w:r>
          </w:p>
        </w:tc>
      </w:tr>
      <w:tr>
        <w:tc>
          <w:tcPr>
            <w:tcW w:type="dxa" w:w="63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R2</w:t>
            </w:r>
          </w:p>
        </w:tc>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Payment / logistics integration delays from third parties</w:t>
            </w:r>
          </w:p>
        </w:tc>
        <w:tc>
          <w:tcPr>
            <w:tcW w:type="dxa" w:w="90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3×5</w:t>
            </w:r>
          </w:p>
        </w:tc>
        <w:tc>
          <w:tcPr>
            <w:tcW w:type="dxa" w:w="442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Mitigate — early contracting, sandbox-first, fallback gateway, integration buffer</w:t>
            </w:r>
          </w:p>
        </w:tc>
      </w:tr>
      <w:tr>
        <w:tc>
          <w:tcPr>
            <w:tcW w:type="dxa" w:w="63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R3</w:t>
            </w:r>
          </w:p>
        </w:tc>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Peak-load failure during festive launch</w:t>
            </w:r>
          </w:p>
        </w:tc>
        <w:tc>
          <w:tcPr>
            <w:tcW w:type="dxa" w:w="90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3×5</w:t>
            </w:r>
          </w:p>
        </w:tc>
        <w:tc>
          <w:tcPr>
            <w:tcW w:type="dxa" w:w="442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Mitigate — load testing to 3× peak, auto-scaling, phased traffic, CDN</w:t>
            </w:r>
          </w:p>
        </w:tc>
      </w:tr>
      <w:tr>
        <w:tc>
          <w:tcPr>
            <w:tcW w:type="dxa" w:w="63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R4</w:t>
            </w:r>
          </w:p>
        </w:tc>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Data migration errors / loss</w:t>
            </w:r>
          </w:p>
        </w:tc>
        <w:tc>
          <w:tcPr>
            <w:tcW w:type="dxa" w:w="90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3×4</w:t>
            </w:r>
          </w:p>
        </w:tc>
        <w:tc>
          <w:tcPr>
            <w:tcW w:type="dxa" w:w="442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Mitigate — dry runs, reconciliation, rollback plan, parallel run</w:t>
            </w:r>
          </w:p>
        </w:tc>
      </w:tr>
      <w:tr>
        <w:tc>
          <w:tcPr>
            <w:tcW w:type="dxa" w:w="63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R5</w:t>
            </w:r>
          </w:p>
        </w:tc>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Security breach / data privacy non-compliance</w:t>
            </w:r>
          </w:p>
        </w:tc>
        <w:tc>
          <w:tcPr>
            <w:tcW w:type="dxa" w:w="90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2×5</w:t>
            </w:r>
          </w:p>
        </w:tc>
        <w:tc>
          <w:tcPr>
            <w:tcW w:type="dxa" w:w="442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Mitigate — VAPT, PCI-DSS &amp; DPDP review, encryption, least-privilege access</w:t>
            </w:r>
          </w:p>
        </w:tc>
      </w:tr>
      <w:tr>
        <w:tc>
          <w:tcPr>
            <w:tcW w:type="dxa" w:w="63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R6</w:t>
            </w:r>
          </w:p>
        </w:tc>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Key-person dependency / attrition</w:t>
            </w:r>
          </w:p>
        </w:tc>
        <w:tc>
          <w:tcPr>
            <w:tcW w:type="dxa" w:w="90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3×3</w:t>
            </w:r>
          </w:p>
        </w:tc>
        <w:tc>
          <w:tcPr>
            <w:tcW w:type="dxa" w:w="442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Mitigate — pairing, documentation, cross-skilling, bench plan</w:t>
            </w:r>
          </w:p>
        </w:tc>
      </w:tr>
      <w:tr>
        <w:tc>
          <w:tcPr>
            <w:tcW w:type="dxa" w:w="63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R7</w:t>
            </w:r>
          </w:p>
        </w:tc>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Estimation inaccuracy / cost overrun</w:t>
            </w:r>
          </w:p>
        </w:tc>
        <w:tc>
          <w:tcPr>
            <w:tcW w:type="dxa" w:w="90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3×4</w:t>
            </w:r>
          </w:p>
        </w:tc>
        <w:tc>
          <w:tcPr>
            <w:tcW w:type="dxa" w:w="442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Mitigate — rolling-wave estimates, EVM tracking, 8% reserve</w:t>
            </w:r>
          </w:p>
        </w:tc>
      </w:tr>
      <w:tr>
        <w:tc>
          <w:tcPr>
            <w:tcW w:type="dxa" w:w="63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R8</w:t>
            </w:r>
          </w:p>
        </w:tc>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Low user adoption post-launch</w:t>
            </w:r>
          </w:p>
        </w:tc>
        <w:tc>
          <w:tcPr>
            <w:tcW w:type="dxa" w:w="90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2×4</w:t>
            </w:r>
          </w:p>
        </w:tc>
        <w:tc>
          <w:tcPr>
            <w:tcW w:type="dxa" w:w="442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Mitigate — usability testing, beta cohort, onboarding, marketing</w:t>
            </w:r>
          </w:p>
        </w:tc>
      </w:tr>
      <w:tr>
        <w:tc>
          <w:tcPr>
            <w:tcW w:type="dxa" w:w="63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R9</w:t>
            </w:r>
          </w:p>
        </w:tc>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Vendor cloud-cost overrun</w:t>
            </w:r>
          </w:p>
        </w:tc>
        <w:tc>
          <w:tcPr>
            <w:tcW w:type="dxa" w:w="90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3×3</w:t>
            </w:r>
          </w:p>
        </w:tc>
        <w:tc>
          <w:tcPr>
            <w:tcW w:type="dxa" w:w="442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Mitigate — budget alerts, right-sizing, reserved capacity</w:t>
            </w:r>
          </w:p>
        </w:tc>
      </w:tr>
    </w:tbl>
    <w:p>
      <w:pPr>
        <w:spacing w:after="120" w:line="264"/>
      </w:pPr>
      <w:r>
        <w:rPr>
          <w:i w:val="false"/>
          <w:iCs w:val="false"/>
        </w:rPr>
        <w:t xml:space="preserve">Response types used: </w:t>
      </w:r>
      <w:r>
        <w:rPr>
          <w:i/>
          <w:iCs/>
        </w:rPr>
        <w:t xml:space="preserve">Avoid, Mitigate, Transfer (insurance/SLAs), Accept</w:t>
      </w:r>
      <w:r>
        <w:t xml:space="preserve">. A risk-response budget is held within the management reserve; issues are escalated to the Steering Committee when a risk materialises or exceeds tolerance.</w:t>
      </w:r>
    </w:p>
    <w:p>
      <w:pPr>
        <w:pStyle w:val="Heading1"/>
      </w:pPr>
      <w:r>
        <w:t xml:space="preserve">7.  Team Collaboration &amp; Operating Model</w:t>
      </w:r>
    </w:p>
    <w:p>
      <w:pPr>
        <w:spacing w:after="120" w:line="264"/>
      </w:pPr>
      <w:r>
        <w:t xml:space="preserve">Project Horizon uses a Scrum-based agile model with two-week sprints, organised into cross-functional squads so that design, frontend, backend, mobile and QA work side-by-side rather than in silos. A Scrum Master facilitates, the Product Owner prioritises, and the Project Manager owns plan, budget and stakeholder alignment.</w:t>
      </w:r>
    </w:p>
    <w:p>
      <w:pPr>
        <w:pStyle w:val="Heading2"/>
      </w:pPr>
      <w:r>
        <w:t xml:space="preserve">7.1  Squad Structure</w:t>
      </w:r>
    </w:p>
    <w:p>
      <w:pPr>
        <w:pStyle w:val="ListParagraph"/>
        <w:numPr>
          <w:ilvl w:val="0"/>
          <w:numId w:val="2"/>
        </w:numPr>
        <w:spacing w:after="50" w:line="260"/>
      </w:pPr>
      <w:r>
        <w:t xml:space="preserve">Experience squad — UX/UI + web frontend + mobile (storefront, PDP, checkout)</w:t>
      </w:r>
    </w:p>
    <w:p>
      <w:pPr>
        <w:pStyle w:val="ListParagraph"/>
        <w:numPr>
          <w:ilvl w:val="0"/>
          <w:numId w:val="2"/>
        </w:numPr>
        <w:spacing w:after="50" w:line="260"/>
      </w:pPr>
      <w:r>
        <w:t xml:space="preserve">Commerce squad — backend services for catalog, cart, orders, payments</w:t>
      </w:r>
    </w:p>
    <w:p>
      <w:pPr>
        <w:pStyle w:val="ListParagraph"/>
        <w:numPr>
          <w:ilvl w:val="0"/>
          <w:numId w:val="2"/>
        </w:numPr>
        <w:spacing w:after="50" w:line="260"/>
      </w:pPr>
      <w:r>
        <w:t xml:space="preserve">Supply-chain squad — inventory, fulfilment, logistics &amp; ERP integration</w:t>
      </w:r>
    </w:p>
    <w:p>
      <w:pPr>
        <w:pStyle w:val="ListParagraph"/>
        <w:numPr>
          <w:ilvl w:val="0"/>
          <w:numId w:val="2"/>
        </w:numPr>
        <w:spacing w:after="50" w:line="260"/>
      </w:pPr>
      <w:r>
        <w:t xml:space="preserve">Platform squad — DevOps, architecture, security, observability (enables all squads)</w:t>
      </w:r>
    </w:p>
    <w:p>
      <w:pPr>
        <w:pStyle w:val="Heading2"/>
      </w:pPr>
      <w:r>
        <w:t xml:space="preserve">7.2  Ceremonies &amp; Collaboration Norms</w:t>
      </w:r>
    </w:p>
    <w:p>
      <w:pPr>
        <w:pStyle w:val="ListParagraph"/>
        <w:numPr>
          <w:ilvl w:val="0"/>
          <w:numId w:val="2"/>
        </w:numPr>
        <w:spacing w:after="50" w:line="260"/>
      </w:pPr>
      <w:r>
        <w:t xml:space="preserve">Daily stand-up (15 min) per squad; weekly scrum-of-scrums across squad leads</w:t>
      </w:r>
    </w:p>
    <w:p>
      <w:pPr>
        <w:pStyle w:val="ListParagraph"/>
        <w:numPr>
          <w:ilvl w:val="0"/>
          <w:numId w:val="2"/>
        </w:numPr>
        <w:spacing w:after="50" w:line="260"/>
      </w:pPr>
      <w:r>
        <w:t xml:space="preserve">Sprint planning, review/demo and retrospective every two weeks</w:t>
      </w:r>
    </w:p>
    <w:p>
      <w:pPr>
        <w:pStyle w:val="ListParagraph"/>
        <w:numPr>
          <w:ilvl w:val="0"/>
          <w:numId w:val="2"/>
        </w:numPr>
        <w:spacing w:after="50" w:line="260"/>
      </w:pPr>
      <w:r>
        <w:t xml:space="preserve">Shared tooling: Jira (backlog &amp; tracking), Confluence (docs), Figma (design), Git + CI/CD (code), Slack/Teams (comms)</w:t>
      </w:r>
    </w:p>
    <w:p>
      <w:pPr>
        <w:pStyle w:val="ListParagraph"/>
        <w:numPr>
          <w:ilvl w:val="0"/>
          <w:numId w:val="2"/>
        </w:numPr>
        <w:spacing w:after="50" w:line="260"/>
      </w:pPr>
      <w:r>
        <w:t xml:space="preserve">Definition of Ready and Definition of Done enforced on every story</w:t>
      </w:r>
    </w:p>
    <w:p>
      <w:pPr>
        <w:pStyle w:val="ListParagraph"/>
        <w:numPr>
          <w:ilvl w:val="0"/>
          <w:numId w:val="2"/>
        </w:numPr>
        <w:spacing w:after="50" w:line="260"/>
      </w:pPr>
      <w:r>
        <w:t xml:space="preserve">Clear RACI (see timeline workbook) so accountability is never ambiguous</w:t>
      </w:r>
    </w:p>
    <w:p>
      <w:pPr>
        <w:pStyle w:val="Heading1"/>
      </w:pPr>
      <w:r>
        <w:t xml:space="preserve">8.  Communication Plan</w:t>
      </w:r>
    </w:p>
    <w:p>
      <w:pPr>
        <w:spacing w:after="120" w:line="264"/>
      </w:pPr>
      <w:r>
        <w:t xml:space="preserve">Communication is matched to each audience’s need: executives want outcomes and exceptions, the team wants detail and unblocking, partners want interface and schedule clarity.</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1805"/>
        <w:gridCol w:w="3069"/>
        <w:gridCol w:w="1805"/>
        <w:gridCol w:w="1264"/>
        <w:gridCol w:w="1083"/>
      </w:tblGrid>
      <w:tr>
        <w:trPr>
          <w:tblHeader/>
        </w:trPr>
        <w:tc>
          <w:tcPr>
            <w:tcW w:type="dxa" w:w="180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Audience</w:t>
            </w:r>
          </w:p>
        </w:tc>
        <w:tc>
          <w:tcPr>
            <w:tcW w:type="dxa" w:w="3069"/>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Purpose / Message</w:t>
            </w:r>
          </w:p>
        </w:tc>
        <w:tc>
          <w:tcPr>
            <w:tcW w:type="dxa" w:w="180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Channel</w:t>
            </w:r>
          </w:p>
        </w:tc>
        <w:tc>
          <w:tcPr>
            <w:tcW w:type="dxa" w:w="1264"/>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Frequency</w:t>
            </w:r>
          </w:p>
        </w:tc>
        <w:tc>
          <w:tcPr>
            <w:tcW w:type="dxa" w:w="1083"/>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Owner</w:t>
            </w:r>
          </w:p>
        </w:tc>
      </w:tr>
      <w:tr>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Steering Committee</w:t>
            </w:r>
          </w:p>
        </w:tc>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Progress, budget, risks, decisions needed</w:t>
            </w:r>
          </w:p>
        </w:tc>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Steering deck + meeting</w:t>
            </w:r>
          </w:p>
        </w:tc>
        <w:tc>
          <w:tcPr>
            <w:tcW w:type="dxa" w:w="126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Bi-weekly</w:t>
            </w:r>
          </w:p>
        </w:tc>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PM</w:t>
            </w:r>
          </w:p>
        </w:tc>
      </w:tr>
      <w:tr>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Sponsor / Product Owner</w:t>
            </w:r>
          </w:p>
        </w:tc>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Status, scope &amp; priority decisions</w:t>
            </w:r>
          </w:p>
        </w:tc>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1:1 + dashboard</w:t>
            </w:r>
          </w:p>
        </w:tc>
        <w:tc>
          <w:tcPr>
            <w:tcW w:type="dxa" w:w="126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Weekly</w:t>
            </w:r>
          </w:p>
        </w:tc>
        <w:tc>
          <w:tcPr>
            <w:tcW w:type="dxa" w:w="108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PM</w:t>
            </w:r>
          </w:p>
        </w:tc>
      </w:tr>
      <w:tr>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Delivery squads</w:t>
            </w:r>
          </w:p>
        </w:tc>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Tasks, blockers, sprint goals</w:t>
            </w:r>
          </w:p>
        </w:tc>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Stand-up + Jira + Slack</w:t>
            </w:r>
          </w:p>
        </w:tc>
        <w:tc>
          <w:tcPr>
            <w:tcW w:type="dxa" w:w="126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Daily</w:t>
            </w:r>
          </w:p>
        </w:tc>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Scrum Master</w:t>
            </w:r>
          </w:p>
        </w:tc>
      </w:tr>
      <w:tr>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Cross-squad leads</w:t>
            </w:r>
          </w:p>
        </w:tc>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Dependencies &amp; integration</w:t>
            </w:r>
          </w:p>
        </w:tc>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Scrum-of-scrums</w:t>
            </w:r>
          </w:p>
        </w:tc>
        <w:tc>
          <w:tcPr>
            <w:tcW w:type="dxa" w:w="126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Weekly</w:t>
            </w:r>
          </w:p>
        </w:tc>
        <w:tc>
          <w:tcPr>
            <w:tcW w:type="dxa" w:w="108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Scrum Master</w:t>
            </w:r>
          </w:p>
        </w:tc>
      </w:tr>
      <w:tr>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Business stakeholders</w:t>
            </w:r>
          </w:p>
        </w:tc>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Demos &amp; feedback</w:t>
            </w:r>
          </w:p>
        </w:tc>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Sprint review</w:t>
            </w:r>
          </w:p>
        </w:tc>
        <w:tc>
          <w:tcPr>
            <w:tcW w:type="dxa" w:w="126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Bi-weekly</w:t>
            </w:r>
          </w:p>
        </w:tc>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PM / PO</w:t>
            </w:r>
          </w:p>
        </w:tc>
      </w:tr>
      <w:tr>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External partners</w:t>
            </w:r>
          </w:p>
        </w:tc>
        <w:tc>
          <w:tcPr>
            <w:tcW w:type="dxa" w:w="306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Interface, schedule, SLAs</w:t>
            </w:r>
          </w:p>
        </w:tc>
        <w:tc>
          <w:tcPr>
            <w:tcW w:type="dxa" w:w="1805"/>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Email + sync calls</w:t>
            </w:r>
          </w:p>
        </w:tc>
        <w:tc>
          <w:tcPr>
            <w:tcW w:type="dxa" w:w="1264"/>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As needed</w:t>
            </w:r>
          </w:p>
        </w:tc>
        <w:tc>
          <w:tcPr>
            <w:tcW w:type="dxa" w:w="1083"/>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Architect / PM</w:t>
            </w:r>
          </w:p>
        </w:tc>
      </w:tr>
      <w:tr>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All stakeholders</w:t>
            </w:r>
          </w:p>
        </w:tc>
        <w:tc>
          <w:tcPr>
            <w:tcW w:type="dxa" w:w="306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Milestone &amp; release notes</w:t>
            </w:r>
          </w:p>
        </w:tc>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Status report / email</w:t>
            </w:r>
          </w:p>
        </w:tc>
        <w:tc>
          <w:tcPr>
            <w:tcW w:type="dxa" w:w="1264"/>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Per milestone</w:t>
            </w:r>
          </w:p>
        </w:tc>
        <w:tc>
          <w:tcPr>
            <w:tcW w:type="dxa" w:w="108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PM</w:t>
            </w:r>
          </w:p>
        </w:tc>
      </w:tr>
    </w:tbl>
    <w:p>
      <w:pPr>
        <w:spacing w:after="120" w:line="264"/>
      </w:pPr>
      <w:r>
        <w:t xml:space="preserve">A live project dashboard (burndown, milestone tracker, risk heatmap, budget burn) gives all stakeholders self-service visibility between formal reports.</w:t>
      </w:r>
    </w:p>
    <w:p>
      <w:pPr>
        <w:pStyle w:val="Heading1"/>
      </w:pPr>
      <w:r>
        <w:t xml:space="preserve">9.  Testing &amp; Quality Assurance</w:t>
      </w:r>
    </w:p>
    <w:p>
      <w:pPr>
        <w:spacing w:after="120" w:line="264"/>
      </w:pPr>
      <w:r>
        <w:t xml:space="preserve">Quality is built in, not inspected at the end. QA engineers are embedded in every squad, automated tests run in the CI/CD pipeline on every commit, and a multi-layer test strategy gates each release.</w:t>
      </w:r>
    </w:p>
    <w:p>
      <w:pPr>
        <w:pStyle w:val="Heading2"/>
      </w:pPr>
      <w:r>
        <w:t xml:space="preserve">9.1  Test Levels</w:t>
      </w:r>
    </w:p>
    <w:tbl>
      <w:tblPr>
        <w:tblW w:type="dxa" w:w="9025"/>
        <w:tblBorders>
          <w:top w:val="single" w:color="B7C3D6" w:sz="1"/>
          <w:left w:val="single" w:color="B7C3D6" w:sz="1"/>
          <w:bottom w:val="single" w:color="B7C3D6" w:sz="1"/>
          <w:right w:val="single" w:color="B7C3D6" w:sz="1"/>
          <w:insideH w:val="single" w:color="B7C3D6" w:sz="1"/>
          <w:insideV w:val="single" w:color="B7C3D6" w:sz="1"/>
        </w:tblBorders>
      </w:tblPr>
      <w:tblGrid>
        <w:gridCol w:w="2166"/>
        <w:gridCol w:w="3610"/>
        <w:gridCol w:w="3249"/>
      </w:tblGrid>
      <w:tr>
        <w:trPr>
          <w:tblHeader/>
        </w:trPr>
        <w:tc>
          <w:tcPr>
            <w:tcW w:type="dxa" w:w="2166"/>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Level</w:t>
            </w:r>
          </w:p>
        </w:tc>
        <w:tc>
          <w:tcPr>
            <w:tcW w:type="dxa" w:w="3610"/>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Focus</w:t>
            </w:r>
          </w:p>
        </w:tc>
        <w:tc>
          <w:tcPr>
            <w:tcW w:type="dxa" w:w="3249"/>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Approach</w:t>
            </w:r>
          </w:p>
        </w:tc>
      </w:tr>
      <w:tr>
        <w:tc>
          <w:tcPr>
            <w:tcW w:type="dxa" w:w="216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Unit</w:t>
            </w:r>
          </w:p>
        </w:tc>
        <w:tc>
          <w:tcPr>
            <w:tcW w:type="dxa" w:w="3610"/>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Individual functions / components</w:t>
            </w:r>
          </w:p>
        </w:tc>
        <w:tc>
          <w:tcPr>
            <w:tcW w:type="dxa" w:w="324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Developer-owned, automated, in CI</w:t>
            </w:r>
          </w:p>
        </w:tc>
      </w:tr>
      <w:tr>
        <w:tc>
          <w:tcPr>
            <w:tcW w:type="dxa" w:w="216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Integration</w:t>
            </w:r>
          </w:p>
        </w:tc>
        <w:tc>
          <w:tcPr>
            <w:tcW w:type="dxa" w:w="3610"/>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Service-to-service &amp; third-party APIs</w:t>
            </w:r>
          </w:p>
        </w:tc>
        <w:tc>
          <w:tcPr>
            <w:tcW w:type="dxa" w:w="324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Automated contract &amp; API tests, sandbox</w:t>
            </w:r>
          </w:p>
        </w:tc>
      </w:tr>
      <w:tr>
        <w:tc>
          <w:tcPr>
            <w:tcW w:type="dxa" w:w="216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System / Functional</w:t>
            </w:r>
          </w:p>
        </w:tc>
        <w:tc>
          <w:tcPr>
            <w:tcW w:type="dxa" w:w="3610"/>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End-to-end business flows</w:t>
            </w:r>
          </w:p>
        </w:tc>
        <w:tc>
          <w:tcPr>
            <w:tcW w:type="dxa" w:w="324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Manual + automated regression suite</w:t>
            </w:r>
          </w:p>
        </w:tc>
      </w:tr>
      <w:tr>
        <w:tc>
          <w:tcPr>
            <w:tcW w:type="dxa" w:w="216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Performance</w:t>
            </w:r>
          </w:p>
        </w:tc>
        <w:tc>
          <w:tcPr>
            <w:tcW w:type="dxa" w:w="3610"/>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Load, stress, soak to 3× festive peak</w:t>
            </w:r>
          </w:p>
        </w:tc>
        <w:tc>
          <w:tcPr>
            <w:tcW w:type="dxa" w:w="324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Load-testing tools, defined NFR thresholds</w:t>
            </w:r>
          </w:p>
        </w:tc>
      </w:tr>
      <w:tr>
        <w:tc>
          <w:tcPr>
            <w:tcW w:type="dxa" w:w="216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Security</w:t>
            </w:r>
          </w:p>
        </w:tc>
        <w:tc>
          <w:tcPr>
            <w:tcW w:type="dxa" w:w="3610"/>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VAPT, dependency &amp; code scanning</w:t>
            </w:r>
          </w:p>
        </w:tc>
        <w:tc>
          <w:tcPr>
            <w:tcW w:type="dxa" w:w="324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Specialist + automated SAST/DAST, PCI-DSS</w:t>
            </w:r>
          </w:p>
        </w:tc>
      </w:tr>
      <w:tr>
        <w:tc>
          <w:tcPr>
            <w:tcW w:type="dxa" w:w="2166"/>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UAT</w:t>
            </w:r>
          </w:p>
        </w:tc>
        <w:tc>
          <w:tcPr>
            <w:tcW w:type="dxa" w:w="3610"/>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Business validation against requirements</w:t>
            </w:r>
          </w:p>
        </w:tc>
        <w:tc>
          <w:tcPr>
            <w:tcW w:type="dxa" w:w="3249"/>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Business users, scripted + exploratory</w:t>
            </w:r>
          </w:p>
        </w:tc>
      </w:tr>
      <w:tr>
        <w:tc>
          <w:tcPr>
            <w:tcW w:type="dxa" w:w="2166"/>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Accessibility &amp; Compatibility</w:t>
            </w:r>
          </w:p>
        </w:tc>
        <w:tc>
          <w:tcPr>
            <w:tcW w:type="dxa" w:w="3610"/>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WCAG, cross-browser, device matrix</w:t>
            </w:r>
          </w:p>
        </w:tc>
        <w:tc>
          <w:tcPr>
            <w:tcW w:type="dxa" w:w="3249"/>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Device lab + cloud browser farm</w:t>
            </w:r>
          </w:p>
        </w:tc>
      </w:tr>
    </w:tbl>
    <w:p>
      <w:pPr>
        <w:pStyle w:val="Heading2"/>
      </w:pPr>
      <w:r>
        <w:t xml:space="preserve">9.2  Defect Management</w:t>
      </w:r>
    </w:p>
    <w:p>
      <w:pPr>
        <w:pStyle w:val="ListParagraph"/>
        <w:numPr>
          <w:ilvl w:val="0"/>
          <w:numId w:val="2"/>
        </w:numPr>
        <w:spacing w:after="50" w:line="260"/>
      </w:pPr>
      <w:r>
        <w:t xml:space="preserve">Defects are logged in Jira with severity (P1–P4), reproduced, triaged daily, and linked to the failing requirement</w:t>
      </w:r>
    </w:p>
    <w:p>
      <w:pPr>
        <w:pStyle w:val="ListParagraph"/>
        <w:numPr>
          <w:ilvl w:val="0"/>
          <w:numId w:val="2"/>
        </w:numPr>
        <w:spacing w:after="50" w:line="260"/>
      </w:pPr>
      <w:r>
        <w:t xml:space="preserve">P1/P2 defects block release; the exit criterion for go-live is zero open P1/P2 defects</w:t>
      </w:r>
    </w:p>
    <w:p>
      <w:pPr>
        <w:pStyle w:val="ListParagraph"/>
        <w:numPr>
          <w:ilvl w:val="0"/>
          <w:numId w:val="2"/>
        </w:numPr>
        <w:spacing w:after="50" w:line="260"/>
      </w:pPr>
      <w:r>
        <w:t xml:space="preserve">Root-cause analysis on recurring or severe defects feeds back into prevention</w:t>
      </w:r>
    </w:p>
    <w:p>
      <w:pPr>
        <w:pStyle w:val="ListParagraph"/>
        <w:numPr>
          <w:ilvl w:val="0"/>
          <w:numId w:val="2"/>
        </w:numPr>
        <w:spacing w:after="50" w:line="260"/>
      </w:pPr>
      <w:r>
        <w:t xml:space="preserve">Defect metrics (density, leakage, ageing, reopen rate) are tracked on the QA dashboard</w:t>
      </w:r>
    </w:p>
    <w:p>
      <w:pPr>
        <w:pStyle w:val="Heading2"/>
      </w:pPr>
      <w:r>
        <w:t xml:space="preserve">9.3  Release Exit Criteria</w:t>
      </w:r>
    </w:p>
    <w:p>
      <w:pPr>
        <w:pStyle w:val="ListParagraph"/>
        <w:numPr>
          <w:ilvl w:val="0"/>
          <w:numId w:val="2"/>
        </w:numPr>
        <w:spacing w:after="50" w:line="260"/>
      </w:pPr>
      <w:r>
        <w:t xml:space="preserve">All planned test cases executed; ≥ 95% pass rate</w:t>
      </w:r>
    </w:p>
    <w:p>
      <w:pPr>
        <w:pStyle w:val="ListParagraph"/>
        <w:numPr>
          <w:ilvl w:val="0"/>
          <w:numId w:val="2"/>
        </w:numPr>
        <w:spacing w:after="50" w:line="260"/>
      </w:pPr>
      <w:r>
        <w:t xml:space="preserve">Zero open P1/P2 defects; agreed workarounds for any P3</w:t>
      </w:r>
    </w:p>
    <w:p>
      <w:pPr>
        <w:pStyle w:val="ListParagraph"/>
        <w:numPr>
          <w:ilvl w:val="0"/>
          <w:numId w:val="2"/>
        </w:numPr>
        <w:spacing w:after="50" w:line="260"/>
      </w:pPr>
      <w:r>
        <w:t xml:space="preserve">Non-functional thresholds met (performance, security, accessibility)</w:t>
      </w:r>
    </w:p>
    <w:p>
      <w:pPr>
        <w:pStyle w:val="ListParagraph"/>
        <w:numPr>
          <w:ilvl w:val="0"/>
          <w:numId w:val="2"/>
        </w:numPr>
        <w:spacing w:after="50" w:line="260"/>
      </w:pPr>
      <w:r>
        <w:t xml:space="preserve">UAT sign-off and security clearance obtained</w:t>
      </w:r>
    </w:p>
    <w:p>
      <w:pPr>
        <w:pStyle w:val="Heading1"/>
      </w:pPr>
      <w:r>
        <w:t xml:space="preserve">10.  Project Monitoring &amp; Control</w:t>
      </w:r>
    </w:p>
    <w:p>
      <w:pPr>
        <w:spacing w:after="120" w:line="264"/>
      </w:pPr>
      <w:r>
        <w:t xml:space="preserve">The project is steered using objective, quantitative controls so that deviations surface early and decisions are evidence-based.</w:t>
      </w:r>
    </w:p>
    <w:p>
      <w:pPr>
        <w:pStyle w:val="Heading2"/>
      </w:pPr>
      <w:r>
        <w:t xml:space="preserve">10.1  How Progress Is Monitored</w:t>
      </w:r>
    </w:p>
    <w:p>
      <w:pPr>
        <w:pStyle w:val="ListParagraph"/>
        <w:numPr>
          <w:ilvl w:val="0"/>
          <w:numId w:val="2"/>
        </w:numPr>
        <w:spacing w:after="50" w:line="260"/>
      </w:pPr>
      <w:r>
        <w:t xml:space="preserve">Sprint burndown &amp; velocity to track scope completion and forecast delivery</w:t>
      </w:r>
    </w:p>
    <w:p>
      <w:pPr>
        <w:pStyle w:val="ListParagraph"/>
        <w:numPr>
          <w:ilvl w:val="0"/>
          <w:numId w:val="2"/>
        </w:numPr>
        <w:spacing w:after="50" w:line="260"/>
      </w:pPr>
      <w:r>
        <w:t xml:space="preserve">Earned Value Management — Schedule (SPI) and Cost (CPI) Performance Indices, with ±5% variance tolerance</w:t>
      </w:r>
    </w:p>
    <w:p>
      <w:pPr>
        <w:pStyle w:val="ListParagraph"/>
        <w:numPr>
          <w:ilvl w:val="0"/>
          <w:numId w:val="2"/>
        </w:numPr>
        <w:spacing w:after="50" w:line="260"/>
      </w:pPr>
      <w:r>
        <w:t xml:space="preserve">Milestone stage-gate reviews tied to funding release</w:t>
      </w:r>
    </w:p>
    <w:p>
      <w:pPr>
        <w:pStyle w:val="ListParagraph"/>
        <w:numPr>
          <w:ilvl w:val="0"/>
          <w:numId w:val="2"/>
        </w:numPr>
        <w:spacing w:after="50" w:line="260"/>
      </w:pPr>
      <w:r>
        <w:t xml:space="preserve">Live dashboards: scope, schedule, budget burn, risk heatmap, defect trends, KPI tracker</w:t>
      </w:r>
    </w:p>
    <w:p>
      <w:pPr>
        <w:pStyle w:val="ListParagraph"/>
        <w:numPr>
          <w:ilvl w:val="0"/>
          <w:numId w:val="2"/>
        </w:numPr>
        <w:spacing w:after="50" w:line="260"/>
      </w:pPr>
      <w:r>
        <w:t xml:space="preserve">Weekly status report and bi-weekly steering review</w:t>
      </w:r>
    </w:p>
    <w:p>
      <w:pPr>
        <w:pStyle w:val="Heading2"/>
      </w:pPr>
      <w:r>
        <w:t xml:space="preserve">10.2  Handling Deviations from the Plan</w:t>
      </w:r>
    </w:p>
    <w:p>
      <w:pPr>
        <w:spacing w:after="120" w:line="264"/>
      </w:pPr>
      <w:r>
        <w:t xml:space="preserve">When SPI or CPI drifts beyond tolerance, or a milestone gate is at risk, a defined response sequence is followed:</w:t>
      </w:r>
    </w:p>
    <w:p>
      <w:pPr>
        <w:pStyle w:val="Heading2"/>
      </w:pPr>
      <w:r>
        <w:t xml:space="preserve">10.3  Change Control</w:t>
      </w:r>
    </w:p>
    <w:p>
      <w:pPr>
        <w:spacing w:after="120" w:line="264"/>
      </w:pPr>
      <w:r>
        <w:t xml:space="preserve">A lightweight Change Control Board (PM, Product Owner, Architect, Finance) reviews change requests against value, cost, schedule and risk. Small in-sprint refinements are handled by the Product Owner via backlog re-prioritisation; anything affecting baseline scope, cost or date requires CCB approval. This keeps the project responsive without losing control.</w:t>
      </w:r>
    </w:p>
    <w:p>
      <w:pPr>
        <w:pStyle w:val="Heading1"/>
      </w:pPr>
      <w:r>
        <w:t xml:space="preserve">11.  Deliverables Index</w:t>
      </w:r>
    </w:p>
    <w:p>
      <w:pPr>
        <w:spacing w:after="120" w:line="264"/>
      </w:pPr>
      <w:r>
        <w:t xml:space="preserve">The complete submission package comprises the following files:</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632"/>
        <w:gridCol w:w="4152"/>
        <w:gridCol w:w="4242"/>
      </w:tblGrid>
      <w:tr>
        <w:trPr>
          <w:tblHeader/>
        </w:trPr>
        <w:tc>
          <w:tcPr>
            <w:tcW w:type="dxa" w:w="632"/>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w:t>
            </w:r>
          </w:p>
        </w:tc>
        <w:tc>
          <w:tcPr>
            <w:tcW w:type="dxa" w:w="4152"/>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Deliverable</w:t>
            </w:r>
          </w:p>
        </w:tc>
        <w:tc>
          <w:tcPr>
            <w:tcW w:type="dxa" w:w="4242"/>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File</w:t>
            </w:r>
          </w:p>
        </w:tc>
      </w:tr>
      <w:tr>
        <w:tc>
          <w:tcPr>
            <w:tcW w:type="dxa" w:w="63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1</w:t>
            </w:r>
          </w:p>
        </w:tc>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Project Management Plan (this document)</w:t>
            </w:r>
          </w:p>
        </w:tc>
        <w:tc>
          <w:tcPr>
            <w:tcW w:type="dxa" w:w="424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PMP — Project_Horizon_Project_Management_Plan.docx</w:t>
            </w:r>
          </w:p>
        </w:tc>
      </w:tr>
      <w:tr>
        <w:tc>
          <w:tcPr>
            <w:tcW w:type="dxa" w:w="63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2</w:t>
            </w:r>
          </w:p>
        </w:tc>
        <w:tc>
          <w:tcPr>
            <w:tcW w:type="dxa" w:w="415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Software Requirements Specification</w:t>
            </w:r>
          </w:p>
        </w:tc>
        <w:tc>
          <w:tcPr>
            <w:tcW w:type="dxa" w:w="424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SRS — Project_Horizon_SRS.docx</w:t>
            </w:r>
          </w:p>
        </w:tc>
      </w:tr>
      <w:tr>
        <w:tc>
          <w:tcPr>
            <w:tcW w:type="dxa" w:w="63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3</w:t>
            </w:r>
          </w:p>
        </w:tc>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Functional Requirements Document</w:t>
            </w:r>
          </w:p>
        </w:tc>
        <w:tc>
          <w:tcPr>
            <w:tcW w:type="dxa" w:w="424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FRD — Project_Horizon_FRD.docx</w:t>
            </w:r>
          </w:p>
        </w:tc>
      </w:tr>
      <w:tr>
        <w:tc>
          <w:tcPr>
            <w:tcW w:type="dxa" w:w="63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4</w:t>
            </w:r>
          </w:p>
        </w:tc>
        <w:tc>
          <w:tcPr>
            <w:tcW w:type="dxa" w:w="415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Wireframe set (web + mobile, annotated)</w:t>
            </w:r>
          </w:p>
        </w:tc>
        <w:tc>
          <w:tcPr>
            <w:tcW w:type="dxa" w:w="424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ShopSphere_Wireframes.html</w:t>
            </w:r>
          </w:p>
        </w:tc>
      </w:tr>
      <w:tr>
        <w:tc>
          <w:tcPr>
            <w:tcW w:type="dxa" w:w="63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5</w:t>
            </w:r>
          </w:p>
        </w:tc>
        <w:tc>
          <w:tcPr>
            <w:tcW w:type="dxa" w:w="415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Budget &amp; Quotation model</w:t>
            </w:r>
          </w:p>
        </w:tc>
        <w:tc>
          <w:tcPr>
            <w:tcW w:type="dxa" w:w="4242"/>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Project_Horizon_Budget_and_Quotation.xlsx</w:t>
            </w:r>
          </w:p>
        </w:tc>
      </w:tr>
      <w:tr>
        <w:tc>
          <w:tcPr>
            <w:tcW w:type="dxa" w:w="63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6</w:t>
            </w:r>
          </w:p>
        </w:tc>
        <w:tc>
          <w:tcPr>
            <w:tcW w:type="dxa" w:w="415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Timeline, WBS, Gantt, RACI &amp; Task Distribution</w:t>
            </w:r>
          </w:p>
        </w:tc>
        <w:tc>
          <w:tcPr>
            <w:tcW w:type="dxa" w:w="4242"/>
            <w:shd w:fill="EEF3FA" w:val="clear"/>
            <w:tcMar>
              <w:top w:type="dxa" w:w="60"/>
              <w:left w:type="dxa" w:w="110"/>
              <w:bottom w:type="dxa" w:w="60"/>
              <w:right w:type="dxa" w:w="110"/>
            </w:tcMar>
            <w:vAlign w:val="center"/>
          </w:tcPr>
          <w:p>
            <w:pPr>
              <w:spacing w:after="0" w:line="248"/>
              <w:jc w:val="left"/>
            </w:pPr>
            <w:r>
              <w:rPr>
                <w:b w:val="false"/>
                <w:bCs w:val="false"/>
                <w:sz w:val="19"/>
                <w:szCs w:val="19"/>
              </w:rPr>
              <w:t xml:space="preserve">Project_Horizon_Timeline_and_Tasks.xlsx</w:t>
            </w:r>
          </w:p>
        </w:tc>
      </w:tr>
    </w:tbl>
    <w:p>
      <w:pPr>
        <w:spacing w:after="120"/>
      </w:pPr>
      <w:r>
        <w:t xml:space="preserve"/>
      </w:r>
    </w:p>
    <w:p>
      <w:pPr>
        <w:pBdr>
          <w:top w:val="single" w:color="2E5496" w:sz="8" w:space="6"/>
        </w:pBdr>
        <w:spacing w:before="200"/>
      </w:pPr>
      <w:r>
        <w:rPr>
          <w:b/>
          <w:bCs/>
          <w:color w:val="1F3864"/>
          <w:sz w:val="22"/>
          <w:szCs w:val="22"/>
        </w:rPr>
        <w:t xml:space="preserve">Approval</w:t>
      </w:r>
    </w:p>
    <w:tbl>
      <w:tblPr>
        <w:tblW w:type="dxa" w:w="9026"/>
        <w:tblBorders>
          <w:top w:val="single" w:color="B7C3D6" w:sz="1"/>
          <w:left w:val="single" w:color="B7C3D6" w:sz="1"/>
          <w:bottom w:val="single" w:color="B7C3D6" w:sz="1"/>
          <w:right w:val="single" w:color="B7C3D6" w:sz="1"/>
          <w:insideH w:val="single" w:color="B7C3D6" w:sz="1"/>
          <w:insideV w:val="single" w:color="B7C3D6" w:sz="1"/>
        </w:tblBorders>
      </w:tblPr>
      <w:tblGrid>
        <w:gridCol w:w="4513"/>
        <w:gridCol w:w="2708"/>
        <w:gridCol w:w="1805"/>
      </w:tblGrid>
      <w:tr>
        <w:trPr>
          <w:tblHeader/>
        </w:trPr>
        <w:tc>
          <w:tcPr>
            <w:tcW w:type="dxa" w:w="4513"/>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Name / Role</w:t>
            </w:r>
          </w:p>
        </w:tc>
        <w:tc>
          <w:tcPr>
            <w:tcW w:type="dxa" w:w="2708"/>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Signature</w:t>
            </w:r>
          </w:p>
        </w:tc>
        <w:tc>
          <w:tcPr>
            <w:tcW w:type="dxa" w:w="1805"/>
            <w:shd w:fill="1F3864" w:val="clear"/>
            <w:tcMar>
              <w:top w:type="dxa" w:w="60"/>
              <w:left w:type="dxa" w:w="110"/>
              <w:bottom w:type="dxa" w:w="60"/>
              <w:right w:type="dxa" w:w="110"/>
            </w:tcMar>
            <w:vAlign w:val="center"/>
          </w:tcPr>
          <w:p>
            <w:pPr>
              <w:spacing w:after="0" w:line="248"/>
              <w:jc w:val="left"/>
            </w:pPr>
            <w:r>
              <w:rPr>
                <w:b/>
                <w:bCs/>
                <w:color w:val="FFFFFF"/>
                <w:sz w:val="19"/>
                <w:szCs w:val="19"/>
              </w:rPr>
              <w:t xml:space="preserve">Date</w:t>
            </w:r>
          </w:p>
        </w:tc>
      </w:tr>
      <w:tr>
        <w:tc>
          <w:tcPr>
            <w:tcW w:type="dxa" w:w="451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Executive Sponsor</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
            </w:r>
          </w:p>
        </w:tc>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
            </w:r>
          </w:p>
        </w:tc>
      </w:tr>
      <w:tr>
        <w:tc>
          <w:tcPr>
            <w:tcW w:type="dxa" w:w="451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Product Owner</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
            </w:r>
          </w:p>
        </w:tc>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
            </w:r>
          </w:p>
        </w:tc>
      </w:tr>
      <w:tr>
        <w:tc>
          <w:tcPr>
            <w:tcW w:type="dxa" w:w="4513"/>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Project Manager</w:t>
            </w:r>
          </w:p>
        </w:tc>
        <w:tc>
          <w:tcPr>
            <w:tcW w:type="dxa" w:w="2708"/>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
            </w:r>
          </w:p>
        </w:tc>
        <w:tc>
          <w:tcPr>
            <w:tcW w:type="dxa" w:w="1805"/>
            <w:shd w:fill="FFFFFF" w:val="clear"/>
            <w:tcMar>
              <w:top w:type="dxa" w:w="60"/>
              <w:left w:type="dxa" w:w="110"/>
              <w:bottom w:type="dxa" w:w="60"/>
              <w:right w:type="dxa" w:w="110"/>
            </w:tcMar>
            <w:vAlign w:val="center"/>
          </w:tcPr>
          <w:p>
            <w:pPr>
              <w:spacing w:after="0" w:line="248"/>
              <w:jc w:val="left"/>
            </w:pPr>
            <w:r>
              <w:rPr>
                <w:b w:val="false"/>
                <w:bCs w:val="false"/>
                <w:sz w:val="19"/>
                <w:szCs w:val="19"/>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A9A9A"/>
        <w:sz w:val="16"/>
        <w:szCs w:val="16"/>
      </w:rPr>
      <w:t xml:space="preserve">Confidential</w:t>
    </w:r>
    <w:r>
      <w:rPr>
        <w:color w:val="9A9A9A"/>
        <w:sz w:val="16"/>
        <w:szCs w:val="16"/>
      </w:rPr>
      <w:t xml:space="preserve">	Page </w:t>
    </w:r>
    <w:r>
      <w:rPr>
        <w:color w:val="9A9A9A"/>
        <w:sz w:val="16"/>
        <w:szCs w:val="16"/>
      </w:rPr>
      <w:fldChar w:fldCharType="begin"/>
      <w:instrText xml:space="preserve">PAGE</w:instrText>
      <w:fldChar w:fldCharType="separate"/>
      <w:fldChar w:fldCharType="end"/>
    </w:r>
    <w:r>
      <w:rPr>
        <w:color w:val="9A9A9A"/>
        <w:sz w:val="16"/>
        <w:szCs w:val="16"/>
      </w:rPr>
      <w:t xml:space="preserve"> of </w:t>
    </w:r>
    <w:r>
      <w:rPr>
        <w:color w:val="9A9A9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tabs>
        <w:tab w:val="right" w:pos="9026"/>
      </w:tabs>
    </w:pPr>
    <w:r>
      <w:rPr>
        <w:color w:val="7A7A7A"/>
        <w:sz w:val="16"/>
        <w:szCs w:val="16"/>
      </w:rPr>
      <w:t xml:space="preserve">Meridian Retail Pvt. Ltd.  |  Project Horizon — ShopSphere</w:t>
    </w:r>
    <w:r>
      <w:rPr>
        <w:color w:val="7A7A7A"/>
        <w:sz w:val="16"/>
        <w:szCs w:val="16"/>
      </w:rPr>
      <w:t xml:space="preserve">	PMP-HRZN-001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3864"/>
      <w:sz w:val="56"/>
      <w:szCs w:val="56"/>
    </w:rPr>
  </w:style>
  <w:style w:type="paragraph" w:styleId="Heading1">
    <w:name w:val="Heading 1"/>
    <w:basedOn w:val="Normal"/>
    <w:next w:val="Normal"/>
    <w:qFormat/>
    <w:pPr>
      <w:pBdr>
        <w:bottom w:val="single" w:color="2E5496" w:sz="10" w:space="4"/>
      </w:pBd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E5496"/>
      <w:sz w:val="24"/>
      <w:szCs w:val="24"/>
    </w:rPr>
  </w:style>
  <w:style w:type="paragraph" w:styleId="Heading3">
    <w:name w:val="Heading 3"/>
    <w:basedOn w:val="Normal"/>
    <w:next w:val="Normal"/>
    <w:qFormat/>
    <w:pPr>
      <w:spacing w:after="70" w:before="16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2026-06-07T04:33:06.860Z</dcterms:created>
  <dcterms:modified xsi:type="dcterms:W3CDTF">2026-06-07T04:33:06.878Z</dcterms:modified>
</cp:coreProperties>
</file>

<file path=docProps/custom.xml><?xml version="1.0" encoding="utf-8"?>
<Properties xmlns="http://schemas.openxmlformats.org/officeDocument/2006/custom-properties" xmlns:vt="http://schemas.openxmlformats.org/officeDocument/2006/docPropsVTypes"/>
</file>