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r>
        <w:rPr>
          <w:b/>
          <w:bCs/>
          <w:color w:val="7A7A7A"/>
          <w:sz w:val="22"/>
          <w:szCs w:val="22"/>
        </w:rPr>
        <w:t xml:space="preserve">MERIDIAN RETAIL PVT. LTD.</w:t>
      </w:r>
    </w:p>
    <w:p>
      <w:pPr>
        <w:pBdr>
          <w:bottom w:val="single" w:color="8A6D00" w:sz="18" w:space="6"/>
        </w:pBdr>
        <w:spacing w:after="40"/>
      </w:pPr>
      <w:r>
        <w:t xml:space="preserve"/>
      </w:r>
    </w:p>
    <w:p>
      <w:pPr>
        <w:spacing w:before="240"/>
      </w:pPr>
      <w:r>
        <w:rPr>
          <w:b/>
          <w:bCs/>
          <w:color w:val="1F3864"/>
          <w:sz w:val="56"/>
          <w:szCs w:val="56"/>
        </w:rPr>
        <w:t xml:space="preserve">Software Requirements</w:t>
      </w:r>
    </w:p>
    <w:p>
      <w:r>
        <w:rPr>
          <w:b/>
          <w:bCs/>
          <w:color w:val="1F3864"/>
          <w:sz w:val="56"/>
          <w:szCs w:val="56"/>
        </w:rPr>
        <w:t xml:space="preserve">Specification (SRS)</w:t>
      </w:r>
    </w:p>
    <w:p>
      <w:pPr>
        <w:spacing w:before="160"/>
      </w:pPr>
      <w:r>
        <w:rPr>
          <w:b/>
          <w:bCs/>
          <w:color w:val="2E5496"/>
          <w:sz w:val="30"/>
          <w:szCs w:val="30"/>
        </w:rPr>
        <w:t xml:space="preserve">ShopSphere E-Commerce Platform</w:t>
      </w:r>
    </w:p>
    <w:p>
      <w:pPr>
        <w:spacing w:before="120"/>
      </w:pPr>
      <w:r>
        <w:rPr>
          <w:color w:val="333333"/>
          <w:sz w:val="22"/>
          <w:szCs w:val="22"/>
        </w:rPr>
        <w:t xml:space="preserve">Web Storefront · Native iOS &amp; Android Apps · Supply-Chain &amp; Order Management</w:t>
      </w:r>
    </w:p>
    <w:p>
      <w:pPr>
        <w:spacing w:after="460"/>
      </w:pPr>
      <w:r>
        <w:t xml:space="preserve"/>
      </w:r>
    </w:p>
    <w:tbl>
      <w:tblPr>
        <w:tblW w:type="dxa" w:w="9026"/>
        <w:tblBorders>
          <w:top w:val="single" w:color="B7C3D6" w:sz="1"/>
          <w:left w:val="single" w:color="B7C3D6" w:sz="1"/>
          <w:bottom w:val="single" w:color="B7C3D6" w:sz="1"/>
          <w:right w:val="single" w:color="B7C3D6" w:sz="1"/>
          <w:insideH w:val="single" w:color="B7C3D6" w:sz="1"/>
          <w:insideV w:val="single" w:color="B7C3D6" w:sz="1"/>
        </w:tblBorders>
      </w:tblPr>
      <w:tblGrid>
        <w:gridCol w:w="2527"/>
        <w:gridCol w:w="6499"/>
      </w:tblGrid>
      <w:tr>
        <w:trPr>
          <w:tblHeader/>
        </w:trPr>
        <w:tc>
          <w:tcPr>
            <w:tcW w:type="dxa" w:w="2527"/>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Document Control</w:t>
            </w:r>
          </w:p>
        </w:tc>
        <w:tc>
          <w:tcPr>
            <w:tcW w:type="dxa" w:w="6499"/>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
            </w:r>
          </w:p>
        </w:tc>
      </w:tr>
      <w:tr>
        <w:tc>
          <w:tcPr>
            <w:tcW w:type="dxa" w:w="2527"/>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Document</w:t>
            </w:r>
          </w:p>
        </w:tc>
        <w:tc>
          <w:tcPr>
            <w:tcW w:type="dxa" w:w="6499"/>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Software Requirements Specification</w:t>
            </w:r>
          </w:p>
        </w:tc>
      </w:tr>
      <w:tr>
        <w:tc>
          <w:tcPr>
            <w:tcW w:type="dxa" w:w="2527"/>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Document code</w:t>
            </w:r>
          </w:p>
        </w:tc>
        <w:tc>
          <w:tcPr>
            <w:tcW w:type="dxa" w:w="6499"/>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SRS-HRZN-001  ·  Version 1.0</w:t>
            </w:r>
          </w:p>
        </w:tc>
      </w:tr>
      <w:tr>
        <w:tc>
          <w:tcPr>
            <w:tcW w:type="dxa" w:w="2527"/>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Standard basis</w:t>
            </w:r>
          </w:p>
        </w:tc>
        <w:tc>
          <w:tcPr>
            <w:tcW w:type="dxa" w:w="6499"/>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IEEE 830-style structure</w:t>
            </w:r>
          </w:p>
        </w:tc>
      </w:tr>
      <w:tr>
        <w:tc>
          <w:tcPr>
            <w:tcW w:type="dxa" w:w="2527"/>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Prepared by</w:t>
            </w:r>
          </w:p>
        </w:tc>
        <w:tc>
          <w:tcPr>
            <w:tcW w:type="dxa" w:w="6499"/>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Senior IT Project Manager &amp; Business Analyst</w:t>
            </w:r>
          </w:p>
        </w:tc>
      </w:tr>
      <w:tr>
        <w:tc>
          <w:tcPr>
            <w:tcW w:type="dxa" w:w="2527"/>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Date</w:t>
            </w:r>
          </w:p>
        </w:tc>
        <w:tc>
          <w:tcPr>
            <w:tcW w:type="dxa" w:w="6499"/>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June 2026</w:t>
            </w:r>
          </w:p>
        </w:tc>
      </w:tr>
      <w:tr>
        <w:tc>
          <w:tcPr>
            <w:tcW w:type="dxa" w:w="2527"/>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Currency</w:t>
            </w:r>
          </w:p>
        </w:tc>
        <w:tc>
          <w:tcPr>
            <w:tcW w:type="dxa" w:w="6499"/>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Indian Rupee (INR, ₹)</w:t>
            </w:r>
          </w:p>
        </w:tc>
      </w:tr>
      <w:tr>
        <w:tc>
          <w:tcPr>
            <w:tcW w:type="dxa" w:w="2527"/>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Classification</w:t>
            </w:r>
          </w:p>
        </w:tc>
        <w:tc>
          <w:tcPr>
            <w:tcW w:type="dxa" w:w="6499"/>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Confidential — Internal &amp; Steering Committee</w:t>
            </w:r>
          </w:p>
        </w:tc>
      </w:tr>
      <w:tr>
        <w:tc>
          <w:tcPr>
            <w:tcW w:type="dxa" w:w="2527"/>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Companion files</w:t>
            </w:r>
          </w:p>
        </w:tc>
        <w:tc>
          <w:tcPr>
            <w:tcW w:type="dxa" w:w="6499"/>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PMP-HRZN-001 · FRD-HRZN-001 · Wireframes · Budget &amp; Quotation (XLSX) · Timeline &amp; Tasks (XLSX)</w:t>
            </w:r>
          </w:p>
        </w:tc>
      </w:tr>
    </w:tbl>
    <w:p>
      <w:pPr>
        <w:spacing w:before="240"/>
      </w:pPr>
      <w:r>
        <w:rPr>
          <w:i/>
          <w:iCs/>
          <w:color w:val="909090"/>
          <w:sz w:val="16"/>
          <w:szCs w:val="16"/>
        </w:rPr>
        <w:t xml:space="preserve">This SRS defines WHAT ShopSphere must do and the qualities it must meet. Functional detail at module level is elaborated in the companion FRD (FRD-HRZN-001).</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pStyle w:val="Heading2"/>
      </w:pPr>
      <w:r>
        <w:t xml:space="preserve">1.1  Purpose</w:t>
      </w:r>
    </w:p>
    <w:p>
      <w:pPr>
        <w:spacing w:after="120" w:line="264"/>
      </w:pPr>
      <w:r>
        <w:t xml:space="preserve">This Software Requirements Specification (SRS) defines the functional and non-functional requirements for ShopSphere, the new e-commerce platform being delivered by Meridian Retail Pvt. Ltd. under Project Horizon. It is the authoritative reference for the engineering, quality-assurance, design and product teams, and the basis against which the platform will be verified and accepted. Module-level functional behaviour is elaborated in the companion Functional Requirements Document (FRD-HRZN-001).</w:t>
      </w:r>
    </w:p>
    <w:p>
      <w:pPr>
        <w:pStyle w:val="Heading2"/>
      </w:pPr>
      <w:r>
        <w:t xml:space="preserve">1.2  Scope</w:t>
      </w:r>
    </w:p>
    <w:p>
      <w:pPr>
        <w:spacing w:after="120" w:line="264"/>
      </w:pPr>
      <w:r>
        <w:t xml:space="preserve">ShopSphere is a unified retail commerce platform comprising a responsive web storefront, native iOS and Android applications, and a back-office supply-chain and order-management capability. It enables customers to discover products, search and filter the catalog, view rich product detail, manage a cart, check out and pay through Indian payment methods (UPI, cards, net-banking, wallets, EMI and Cash-on-Delivery), track orders, and raise returns. It enables Meridian operations to manage catalog, pricing and promotions, maintain real-time multi-warehouse inventory, allocate fulfilment and couriers, and monitor commercial performance.</w:t>
      </w:r>
    </w:p>
    <w:p>
      <w:pPr>
        <w:spacing w:after="120" w:line="264"/>
      </w:pPr>
      <w:r>
        <w:rPr>
          <w:b/>
          <w:bCs/>
        </w:rPr>
        <w:t xml:space="preserve">Out of scope for this release: </w:t>
      </w:r>
      <w:r>
        <w:t xml:space="preserve">third-party marketplace seller onboarding, in-house warehouse robotics, a separate B2B/wholesale portal, and physical point-of-sale integration. These are recorded as future-phase candidates.</w:t>
      </w:r>
    </w:p>
    <w:p>
      <w:pPr>
        <w:pStyle w:val="Heading2"/>
      </w:pPr>
      <w:r>
        <w:t xml:space="preserve">1.3  Definitions, Acronyms &amp; Abbreviations</w:t>
      </w:r>
    </w:p>
    <w:tbl>
      <w:tblPr>
        <w:tblW w:type="dxa" w:w="9026"/>
        <w:tblBorders>
          <w:top w:val="single" w:color="B7C3D6" w:sz="1"/>
          <w:left w:val="single" w:color="B7C3D6" w:sz="1"/>
          <w:bottom w:val="single" w:color="B7C3D6" w:sz="1"/>
          <w:right w:val="single" w:color="B7C3D6" w:sz="1"/>
          <w:insideH w:val="single" w:color="B7C3D6" w:sz="1"/>
          <w:insideV w:val="single" w:color="B7C3D6" w:sz="1"/>
        </w:tblBorders>
      </w:tblPr>
      <w:tblGrid>
        <w:gridCol w:w="1625"/>
        <w:gridCol w:w="7401"/>
      </w:tblGrid>
      <w:tr>
        <w:trPr>
          <w:tblHeader/>
        </w:trPr>
        <w:tc>
          <w:tcPr>
            <w:tcW w:type="dxa" w:w="1625"/>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Term</w:t>
            </w:r>
          </w:p>
        </w:tc>
        <w:tc>
          <w:tcPr>
            <w:tcW w:type="dxa" w:w="7401"/>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Meaning</w:t>
            </w:r>
          </w:p>
        </w:tc>
      </w:tr>
      <w:tr>
        <w:tc>
          <w:tcPr>
            <w:tcW w:type="dxa" w:w="1625"/>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PDP</w:t>
            </w:r>
          </w:p>
        </w:tc>
        <w:tc>
          <w:tcPr>
            <w:tcW w:type="dxa" w:w="7401"/>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Product Detail Page</w:t>
            </w:r>
          </w:p>
        </w:tc>
      </w:tr>
      <w:tr>
        <w:tc>
          <w:tcPr>
            <w:tcW w:type="dxa" w:w="1625"/>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PLP</w:t>
            </w:r>
          </w:p>
        </w:tc>
        <w:tc>
          <w:tcPr>
            <w:tcW w:type="dxa" w:w="7401"/>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Product Listing Page</w:t>
            </w:r>
          </w:p>
        </w:tc>
      </w:tr>
      <w:tr>
        <w:tc>
          <w:tcPr>
            <w:tcW w:type="dxa" w:w="1625"/>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SKU</w:t>
            </w:r>
          </w:p>
        </w:tc>
        <w:tc>
          <w:tcPr>
            <w:tcW w:type="dxa" w:w="7401"/>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Stock Keeping Unit — a uniquely sellable product variant</w:t>
            </w:r>
          </w:p>
        </w:tc>
      </w:tr>
      <w:tr>
        <w:tc>
          <w:tcPr>
            <w:tcW w:type="dxa" w:w="1625"/>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COD</w:t>
            </w:r>
          </w:p>
        </w:tc>
        <w:tc>
          <w:tcPr>
            <w:tcW w:type="dxa" w:w="7401"/>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Cash on Delivery</w:t>
            </w:r>
          </w:p>
        </w:tc>
      </w:tr>
      <w:tr>
        <w:tc>
          <w:tcPr>
            <w:tcW w:type="dxa" w:w="1625"/>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UPI</w:t>
            </w:r>
          </w:p>
        </w:tc>
        <w:tc>
          <w:tcPr>
            <w:tcW w:type="dxa" w:w="7401"/>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Unified Payments Interface</w:t>
            </w:r>
          </w:p>
        </w:tc>
      </w:tr>
      <w:tr>
        <w:tc>
          <w:tcPr>
            <w:tcW w:type="dxa" w:w="1625"/>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OMS</w:t>
            </w:r>
          </w:p>
        </w:tc>
        <w:tc>
          <w:tcPr>
            <w:tcW w:type="dxa" w:w="7401"/>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Order Management System</w:t>
            </w:r>
          </w:p>
        </w:tc>
      </w:tr>
      <w:tr>
        <w:tc>
          <w:tcPr>
            <w:tcW w:type="dxa" w:w="1625"/>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PII</w:t>
            </w:r>
          </w:p>
        </w:tc>
        <w:tc>
          <w:tcPr>
            <w:tcW w:type="dxa" w:w="7401"/>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Personally Identifiable Information</w:t>
            </w:r>
          </w:p>
        </w:tc>
      </w:tr>
      <w:tr>
        <w:tc>
          <w:tcPr>
            <w:tcW w:type="dxa" w:w="1625"/>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P95 / P99</w:t>
            </w:r>
          </w:p>
        </w:tc>
        <w:tc>
          <w:tcPr>
            <w:tcW w:type="dxa" w:w="7401"/>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95th / 99th percentile latency</w:t>
            </w:r>
          </w:p>
        </w:tc>
      </w:tr>
      <w:tr>
        <w:tc>
          <w:tcPr>
            <w:tcW w:type="dxa" w:w="1625"/>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RTO / RPO</w:t>
            </w:r>
          </w:p>
        </w:tc>
        <w:tc>
          <w:tcPr>
            <w:tcW w:type="dxa" w:w="7401"/>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Recovery Time / Recovery Point Objective</w:t>
            </w:r>
          </w:p>
        </w:tc>
      </w:tr>
      <w:tr>
        <w:tc>
          <w:tcPr>
            <w:tcW w:type="dxa" w:w="1625"/>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NFR</w:t>
            </w:r>
          </w:p>
        </w:tc>
        <w:tc>
          <w:tcPr>
            <w:tcW w:type="dxa" w:w="7401"/>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Non-Functional Requirement</w:t>
            </w:r>
          </w:p>
        </w:tc>
      </w:tr>
    </w:tbl>
    <w:p>
      <w:pPr>
        <w:pStyle w:val="Heading2"/>
      </w:pPr>
      <w:r>
        <w:t xml:space="preserve">1.4  References</w:t>
      </w:r>
    </w:p>
    <w:p>
      <w:pPr>
        <w:pStyle w:val="ListParagraph"/>
        <w:numPr>
          <w:ilvl w:val="0"/>
          <w:numId w:val="2"/>
        </w:numPr>
        <w:spacing w:after="50" w:line="260"/>
      </w:pPr>
      <w:r>
        <w:t xml:space="preserve">Project Management Plan — PMP-HRZN-001</w:t>
      </w:r>
    </w:p>
    <w:p>
      <w:pPr>
        <w:pStyle w:val="ListParagraph"/>
        <w:numPr>
          <w:ilvl w:val="0"/>
          <w:numId w:val="2"/>
        </w:numPr>
        <w:spacing w:after="50" w:line="260"/>
      </w:pPr>
      <w:r>
        <w:t xml:space="preserve">Functional Requirements Document — FRD-HRZN-001</w:t>
      </w:r>
    </w:p>
    <w:p>
      <w:pPr>
        <w:pStyle w:val="ListParagraph"/>
        <w:numPr>
          <w:ilvl w:val="0"/>
          <w:numId w:val="2"/>
        </w:numPr>
        <w:spacing w:after="50" w:line="260"/>
      </w:pPr>
      <w:r>
        <w:t xml:space="preserve">ShopSphere Wireframes (annotated blueprint)</w:t>
      </w:r>
    </w:p>
    <w:p>
      <w:pPr>
        <w:pStyle w:val="ListParagraph"/>
        <w:numPr>
          <w:ilvl w:val="0"/>
          <w:numId w:val="2"/>
        </w:numPr>
        <w:spacing w:after="50" w:line="260"/>
      </w:pPr>
      <w:r>
        <w:t xml:space="preserve">Budget &amp; Quotation workbook — Project_Horizon_Budget_and_Quotation.xlsx</w:t>
      </w:r>
    </w:p>
    <w:p>
      <w:pPr>
        <w:pStyle w:val="ListParagraph"/>
        <w:numPr>
          <w:ilvl w:val="0"/>
          <w:numId w:val="2"/>
        </w:numPr>
        <w:spacing w:after="50" w:line="260"/>
      </w:pPr>
      <w:r>
        <w:t xml:space="preserve">RBI / NPCI payment guidelines and PCI-DSS for cardholder data</w:t>
      </w:r>
    </w:p>
    <w:p>
      <w:pPr>
        <w:pStyle w:val="ListParagraph"/>
        <w:numPr>
          <w:ilvl w:val="0"/>
          <w:numId w:val="2"/>
        </w:numPr>
        <w:spacing w:after="50" w:line="260"/>
      </w:pPr>
      <w:r>
        <w:t xml:space="preserve">Digital Personal Data Protection Act, 2023 (India)</w:t>
      </w:r>
    </w:p>
    <w:p>
      <w:pPr>
        <w:pStyle w:val="Heading2"/>
      </w:pPr>
      <w:r>
        <w:t xml:space="preserve">1.5  Overview</w:t>
      </w:r>
    </w:p>
    <w:p>
      <w:pPr>
        <w:spacing w:after="120" w:line="264"/>
      </w:pPr>
      <w:r>
        <w:t xml:space="preserve">Section 2 gives the overall product description, user classes, operating environment, constraints and assumptions. Section 3 specifies external interfaces and detailed functional requirements grouped by capability. Section 4 specifies non-functional requirements. Section 5 specifies data requirements. Section 6 maps requirements to verification methods.</w:t>
      </w:r>
    </w:p>
    <w:p>
      <w:pPr>
        <w:pStyle w:val="Heading1"/>
      </w:pPr>
      <w:r>
        <w:t xml:space="preserve">2.  Overall Description</w:t>
      </w:r>
    </w:p>
    <w:p>
      <w:pPr>
        <w:pStyle w:val="Heading2"/>
      </w:pPr>
      <w:r>
        <w:t xml:space="preserve">2.1  Product Perspective</w:t>
      </w:r>
    </w:p>
    <w:p>
      <w:pPr>
        <w:spacing w:after="120" w:line="264"/>
      </w:pPr>
      <w:r>
        <w:t xml:space="preserve">ShopSphere is a new, cloud-native replacement for Meridian’s ageing platform. It follows a modular, service-oriented architecture: a presentation tier (web + mobile clients), an application/services tier (catalog, search, cart, checkout, payments, order, inventory, user, notification services), and a data tier (transactional store, search index, cache, object storage, analytics warehouse). It integrates with external systems — payment gateway, logistics/courier aggregators, communication providers (SMS/WhatsApp/email), and Meridian’s ERP/CRM — through well-defined APIs.</w:t>
      </w:r>
    </w:p>
    <w:p>
      <w:pPr>
        <w:pStyle w:val="Heading2"/>
      </w:pPr>
      <w:r>
        <w:t xml:space="preserve">2.2  Product Functions (Summary)</w:t>
      </w:r>
    </w:p>
    <w:p>
      <w:pPr>
        <w:pStyle w:val="ListParagraph"/>
        <w:numPr>
          <w:ilvl w:val="0"/>
          <w:numId w:val="2"/>
        </w:numPr>
        <w:spacing w:after="50" w:line="260"/>
      </w:pPr>
      <w:r>
        <w:t xml:space="preserve">Product discovery: browse, search, filter, sort, recommendations and merchandising</w:t>
      </w:r>
    </w:p>
    <w:p>
      <w:pPr>
        <w:pStyle w:val="ListParagraph"/>
        <w:numPr>
          <w:ilvl w:val="0"/>
          <w:numId w:val="2"/>
        </w:numPr>
        <w:spacing w:after="50" w:line="260"/>
      </w:pPr>
      <w:r>
        <w:t xml:space="preserve">Rich product detail: media, variants, pricing, availability, ratings, reviews and Q&amp;A</w:t>
      </w:r>
    </w:p>
    <w:p>
      <w:pPr>
        <w:pStyle w:val="ListParagraph"/>
        <w:numPr>
          <w:ilvl w:val="0"/>
          <w:numId w:val="2"/>
        </w:numPr>
        <w:spacing w:after="50" w:line="260"/>
      </w:pPr>
      <w:r>
        <w:t xml:space="preserve">Cart and pricing: add/edit, save-for-later, coupon and promotion application, dynamic totals</w:t>
      </w:r>
    </w:p>
    <w:p>
      <w:pPr>
        <w:pStyle w:val="ListParagraph"/>
        <w:numPr>
          <w:ilvl w:val="0"/>
          <w:numId w:val="2"/>
        </w:numPr>
        <w:spacing w:after="50" w:line="260"/>
      </w:pPr>
      <w:r>
        <w:t xml:space="preserve">Checkout and payments: address, delivery options, UPI/cards/net-banking/wallets/EMI/COD, order confirmation</w:t>
      </w:r>
    </w:p>
    <w:p>
      <w:pPr>
        <w:pStyle w:val="ListParagraph"/>
        <w:numPr>
          <w:ilvl w:val="0"/>
          <w:numId w:val="2"/>
        </w:numPr>
        <w:spacing w:after="50" w:line="260"/>
      </w:pPr>
      <w:r>
        <w:t xml:space="preserve">Account management: registration, login, profile, addresses, saved payment, wishlists</w:t>
      </w:r>
    </w:p>
    <w:p>
      <w:pPr>
        <w:pStyle w:val="ListParagraph"/>
        <w:numPr>
          <w:ilvl w:val="0"/>
          <w:numId w:val="2"/>
        </w:numPr>
        <w:spacing w:after="50" w:line="260"/>
      </w:pPr>
      <w:r>
        <w:t xml:space="preserve">Order lifecycle: tracking, status notifications, cancellations, returns and refunds</w:t>
      </w:r>
    </w:p>
    <w:p>
      <w:pPr>
        <w:pStyle w:val="ListParagraph"/>
        <w:numPr>
          <w:ilvl w:val="0"/>
          <w:numId w:val="2"/>
        </w:numPr>
        <w:spacing w:after="50" w:line="260"/>
      </w:pPr>
      <w:r>
        <w:t xml:space="preserve">Supply chain: real-time inventory, multi-warehouse stock, reorder alerts, fulfilment and courier allocation</w:t>
      </w:r>
    </w:p>
    <w:p>
      <w:pPr>
        <w:pStyle w:val="ListParagraph"/>
        <w:numPr>
          <w:ilvl w:val="0"/>
          <w:numId w:val="2"/>
        </w:numPr>
        <w:spacing w:after="50" w:line="260"/>
      </w:pPr>
      <w:r>
        <w:t xml:space="preserve">Administration: catalog/pricing/promotion management, order operations, analytics dashboards</w:t>
      </w:r>
    </w:p>
    <w:p>
      <w:pPr>
        <w:pStyle w:val="Heading2"/>
      </w:pPr>
      <w:r>
        <w:t xml:space="preserve">2.3  User Classes &amp; Characteristics</w:t>
      </w:r>
    </w:p>
    <w:tbl>
      <w:tblPr>
        <w:tblW w:type="dxa" w:w="9026"/>
        <w:tblBorders>
          <w:top w:val="single" w:color="B7C3D6" w:sz="1"/>
          <w:left w:val="single" w:color="B7C3D6" w:sz="1"/>
          <w:bottom w:val="single" w:color="B7C3D6" w:sz="1"/>
          <w:right w:val="single" w:color="B7C3D6" w:sz="1"/>
          <w:insideH w:val="single" w:color="B7C3D6" w:sz="1"/>
          <w:insideV w:val="single" w:color="B7C3D6" w:sz="1"/>
        </w:tblBorders>
      </w:tblPr>
      <w:tblGrid>
        <w:gridCol w:w="2708"/>
        <w:gridCol w:w="6318"/>
      </w:tblGrid>
      <w:tr>
        <w:trPr>
          <w:tblHeader/>
        </w:trPr>
        <w:tc>
          <w:tcPr>
            <w:tcW w:type="dxa" w:w="2708"/>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User class</w:t>
            </w:r>
          </w:p>
        </w:tc>
        <w:tc>
          <w:tcPr>
            <w:tcW w:type="dxa" w:w="6318"/>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Description &amp; needs</w:t>
            </w:r>
          </w:p>
        </w:tc>
      </w:tr>
      <w:tr>
        <w:tc>
          <w:tcPr>
            <w:tcW w:type="dxa" w:w="2708"/>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Guest shopper</w:t>
            </w:r>
          </w:p>
        </w:tc>
        <w:tc>
          <w:tcPr>
            <w:tcW w:type="dxa" w:w="6318"/>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Browses and searches without an account; can add to cart; must register or use guest checkout to purchase.</w:t>
            </w:r>
          </w:p>
        </w:tc>
      </w:tr>
      <w:tr>
        <w:tc>
          <w:tcPr>
            <w:tcW w:type="dxa" w:w="2708"/>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Registered customer</w:t>
            </w:r>
          </w:p>
        </w:tc>
        <w:tc>
          <w:tcPr>
            <w:tcW w:type="dxa" w:w="6318"/>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Has an account; expects saved addresses, payment methods, order history, wishlists, faster checkout.</w:t>
            </w:r>
          </w:p>
        </w:tc>
      </w:tr>
      <w:tr>
        <w:tc>
          <w:tcPr>
            <w:tcW w:type="dxa" w:w="2708"/>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Catalog / merchandising manager</w:t>
            </w:r>
          </w:p>
        </w:tc>
        <w:tc>
          <w:tcPr>
            <w:tcW w:type="dxa" w:w="6318"/>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Creates and maintains products, categories, pricing, promotions and merchandising rules.</w:t>
            </w:r>
          </w:p>
        </w:tc>
      </w:tr>
      <w:tr>
        <w:tc>
          <w:tcPr>
            <w:tcW w:type="dxa" w:w="2708"/>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Operations / fulfilment staff</w:t>
            </w:r>
          </w:p>
        </w:tc>
        <w:tc>
          <w:tcPr>
            <w:tcW w:type="dxa" w:w="6318"/>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Manages orders, inventory, warehouse stock, courier allocation, returns and refunds.</w:t>
            </w:r>
          </w:p>
        </w:tc>
      </w:tr>
      <w:tr>
        <w:tc>
          <w:tcPr>
            <w:tcW w:type="dxa" w:w="2708"/>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Customer-support agent</w:t>
            </w:r>
          </w:p>
        </w:tc>
        <w:tc>
          <w:tcPr>
            <w:tcW w:type="dxa" w:w="6318"/>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Looks up orders and customers, processes cancellations/returns, resolves issues.</w:t>
            </w:r>
          </w:p>
        </w:tc>
      </w:tr>
      <w:tr>
        <w:tc>
          <w:tcPr>
            <w:tcW w:type="dxa" w:w="2708"/>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Administrator</w:t>
            </w:r>
          </w:p>
        </w:tc>
        <w:tc>
          <w:tcPr>
            <w:tcW w:type="dxa" w:w="6318"/>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Manages users, roles, permissions and system configuration.</w:t>
            </w:r>
          </w:p>
        </w:tc>
      </w:tr>
      <w:tr>
        <w:tc>
          <w:tcPr>
            <w:tcW w:type="dxa" w:w="2708"/>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Business / analytics user</w:t>
            </w:r>
          </w:p>
        </w:tc>
        <w:tc>
          <w:tcPr>
            <w:tcW w:type="dxa" w:w="6318"/>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Consumes dashboards and reports on sales, conversion, inventory and fulfilment.</w:t>
            </w:r>
          </w:p>
        </w:tc>
      </w:tr>
    </w:tbl>
    <w:p>
      <w:pPr>
        <w:pStyle w:val="Heading2"/>
      </w:pPr>
      <w:r>
        <w:t xml:space="preserve">2.4  Operating Environment</w:t>
      </w:r>
    </w:p>
    <w:p>
      <w:pPr>
        <w:pStyle w:val="ListParagraph"/>
        <w:numPr>
          <w:ilvl w:val="0"/>
          <w:numId w:val="2"/>
        </w:numPr>
        <w:spacing w:after="50" w:line="260"/>
      </w:pPr>
      <w:r>
        <w:t xml:space="preserve">Web: latest two versions of Chrome, Safari, Edge and Firefox on desktop and mobile browsers</w:t>
      </w:r>
    </w:p>
    <w:p>
      <w:pPr>
        <w:pStyle w:val="ListParagraph"/>
        <w:numPr>
          <w:ilvl w:val="0"/>
          <w:numId w:val="2"/>
        </w:numPr>
        <w:spacing w:after="50" w:line="260"/>
      </w:pPr>
      <w:r>
        <w:t xml:space="preserve">Mobile apps: iOS 15+ and Android 10+</w:t>
      </w:r>
    </w:p>
    <w:p>
      <w:pPr>
        <w:pStyle w:val="ListParagraph"/>
        <w:numPr>
          <w:ilvl w:val="0"/>
          <w:numId w:val="2"/>
        </w:numPr>
        <w:spacing w:after="50" w:line="260"/>
      </w:pPr>
      <w:r>
        <w:t xml:space="preserve">Cloud-hosted, containerised services with horizontal auto-scaling across availability zones in an India region</w:t>
      </w:r>
    </w:p>
    <w:p>
      <w:pPr>
        <w:pStyle w:val="ListParagraph"/>
        <w:numPr>
          <w:ilvl w:val="0"/>
          <w:numId w:val="2"/>
        </w:numPr>
        <w:spacing w:after="50" w:line="260"/>
      </w:pPr>
      <w:r>
        <w:t xml:space="preserve">Data centre / cloud region located in India for data-residency compliance</w:t>
      </w:r>
    </w:p>
    <w:p>
      <w:pPr>
        <w:pStyle w:val="Heading2"/>
      </w:pPr>
      <w:r>
        <w:t xml:space="preserve">2.5  Design &amp; Implementation Constraints</w:t>
      </w:r>
    </w:p>
    <w:p>
      <w:pPr>
        <w:pStyle w:val="ListParagraph"/>
        <w:numPr>
          <w:ilvl w:val="0"/>
          <w:numId w:val="2"/>
        </w:numPr>
        <w:spacing w:after="50" w:line="260"/>
      </w:pPr>
      <w:r>
        <w:t xml:space="preserve">Payment handling must be PCI-DSS compliant; card data must not be stored on Meridian systems</w:t>
      </w:r>
    </w:p>
    <w:p>
      <w:pPr>
        <w:pStyle w:val="ListParagraph"/>
        <w:numPr>
          <w:ilvl w:val="0"/>
          <w:numId w:val="2"/>
        </w:numPr>
        <w:spacing w:after="50" w:line="260"/>
      </w:pPr>
      <w:r>
        <w:t xml:space="preserve">Personal data handling must comply with the Digital Personal Data Protection Act, 2023</w:t>
      </w:r>
    </w:p>
    <w:p>
      <w:pPr>
        <w:pStyle w:val="ListParagraph"/>
        <w:numPr>
          <w:ilvl w:val="0"/>
          <w:numId w:val="2"/>
        </w:numPr>
        <w:spacing w:after="50" w:line="260"/>
      </w:pPr>
      <w:r>
        <w:t xml:space="preserve">Indian payment methods (UPI, RuPay, popular wallets, EMI, COD) are mandatory</w:t>
      </w:r>
    </w:p>
    <w:p>
      <w:pPr>
        <w:pStyle w:val="ListParagraph"/>
        <w:numPr>
          <w:ilvl w:val="0"/>
          <w:numId w:val="2"/>
        </w:numPr>
        <w:spacing w:after="50" w:line="260"/>
      </w:pPr>
      <w:r>
        <w:t xml:space="preserve">Pricing, invoices and tax must support GST and produce compliant tax invoices</w:t>
      </w:r>
    </w:p>
    <w:p>
      <w:pPr>
        <w:pStyle w:val="ListParagraph"/>
        <w:numPr>
          <w:ilvl w:val="0"/>
          <w:numId w:val="2"/>
        </w:numPr>
        <w:spacing w:after="50" w:line="260"/>
      </w:pPr>
      <w:r>
        <w:t xml:space="preserve">The platform must remain stable under festive-season traffic peaks (e.g. Diwali, Republic Day sales)</w:t>
      </w:r>
    </w:p>
    <w:p>
      <w:pPr>
        <w:pStyle w:val="Heading2"/>
      </w:pPr>
      <w:r>
        <w:t xml:space="preserve">2.6  Assumptions &amp; Dependencies</w:t>
      </w:r>
    </w:p>
    <w:p>
      <w:pPr>
        <w:pStyle w:val="ListParagraph"/>
        <w:numPr>
          <w:ilvl w:val="0"/>
          <w:numId w:val="2"/>
        </w:numPr>
        <w:spacing w:after="50" w:line="260"/>
      </w:pPr>
      <w:r>
        <w:t xml:space="preserve">A payment-gateway and logistics-aggregator contract will be available before integration begins</w:t>
      </w:r>
    </w:p>
    <w:p>
      <w:pPr>
        <w:pStyle w:val="ListParagraph"/>
        <w:numPr>
          <w:ilvl w:val="0"/>
          <w:numId w:val="2"/>
        </w:numPr>
        <w:spacing w:after="50" w:line="260"/>
      </w:pPr>
      <w:r>
        <w:t xml:space="preserve">ERP/CRM exposes (or will expose) APIs for product, pricing, customer and order synchronisation</w:t>
      </w:r>
    </w:p>
    <w:p>
      <w:pPr>
        <w:pStyle w:val="ListParagraph"/>
        <w:numPr>
          <w:ilvl w:val="0"/>
          <w:numId w:val="2"/>
        </w:numPr>
        <w:spacing w:after="50" w:line="260"/>
      </w:pPr>
      <w:r>
        <w:t xml:space="preserve">Product, pricing and inventory master data will be migrated/cleansed before go-live</w:t>
      </w:r>
    </w:p>
    <w:p>
      <w:pPr>
        <w:pStyle w:val="ListParagraph"/>
        <w:numPr>
          <w:ilvl w:val="0"/>
          <w:numId w:val="2"/>
        </w:numPr>
        <w:spacing w:after="50" w:line="260"/>
      </w:pPr>
      <w:r>
        <w:t xml:space="preserve">Business stakeholders are available for backlog refinement, UAT and sign-off per the project plan</w:t>
      </w:r>
    </w:p>
    <w:p>
      <w:pPr>
        <w:pStyle w:val="Heading1"/>
      </w:pPr>
      <w:r>
        <w:t xml:space="preserve">3.  Specific Requirements</w:t>
      </w:r>
    </w:p>
    <w:p>
      <w:pPr>
        <w:pStyle w:val="Heading2"/>
      </w:pPr>
      <w:r>
        <w:t xml:space="preserve">3.1  External Interface Requirements</w:t>
      </w:r>
    </w:p>
    <w:p>
      <w:pPr>
        <w:pStyle w:val="Heading3"/>
      </w:pPr>
      <w:r>
        <w:t xml:space="preserve">3.1.1  User Interfaces</w:t>
      </w:r>
    </w:p>
    <w:p>
      <w:pPr>
        <w:pStyle w:val="ListParagraph"/>
        <w:numPr>
          <w:ilvl w:val="0"/>
          <w:numId w:val="2"/>
        </w:numPr>
        <w:spacing w:after="50" w:line="260"/>
      </w:pPr>
      <w:r>
        <w:t xml:space="preserve">Responsive web UI adapting to desktop, tablet and mobile breakpoints, consistent with the approved wireframes and design system</w:t>
      </w:r>
    </w:p>
    <w:p>
      <w:pPr>
        <w:pStyle w:val="ListParagraph"/>
        <w:numPr>
          <w:ilvl w:val="0"/>
          <w:numId w:val="2"/>
        </w:numPr>
        <w:spacing w:after="50" w:line="260"/>
      </w:pPr>
      <w:r>
        <w:t xml:space="preserve">Native iOS and Android apps with feature parity to web for the customer journey</w:t>
      </w:r>
    </w:p>
    <w:p>
      <w:pPr>
        <w:pStyle w:val="ListParagraph"/>
        <w:numPr>
          <w:ilvl w:val="0"/>
          <w:numId w:val="2"/>
        </w:numPr>
        <w:spacing w:after="50" w:line="260"/>
      </w:pPr>
      <w:r>
        <w:t xml:space="preserve">Accessibility targeting WCAG 2.1 AA (keyboard navigation, colour contrast, screen-reader labels)</w:t>
      </w:r>
    </w:p>
    <w:p>
      <w:pPr>
        <w:pStyle w:val="Heading3"/>
      </w:pPr>
      <w:r>
        <w:t xml:space="preserve">3.1.2  Hardware Interfaces</w:t>
      </w:r>
    </w:p>
    <w:p>
      <w:pPr>
        <w:spacing w:after="120" w:line="264"/>
      </w:pPr>
      <w:r>
        <w:t xml:space="preserve">No bespoke hardware. The mobile apps use standard device capabilities: camera (image/QR for search where applicable), push notifications, biometric unlock and geolocation for delivery estimation.</w:t>
      </w:r>
    </w:p>
    <w:p>
      <w:pPr>
        <w:pStyle w:val="Heading3"/>
      </w:pPr>
      <w:r>
        <w:t xml:space="preserve">3.1.3  Software Interfaces</w:t>
      </w:r>
    </w:p>
    <w:tbl>
      <w:tblPr>
        <w:tblW w:type="dxa" w:w="9026"/>
        <w:tblBorders>
          <w:top w:val="single" w:color="B7C3D6" w:sz="1"/>
          <w:left w:val="single" w:color="B7C3D6" w:sz="1"/>
          <w:bottom w:val="single" w:color="B7C3D6" w:sz="1"/>
          <w:right w:val="single" w:color="B7C3D6" w:sz="1"/>
          <w:insideH w:val="single" w:color="B7C3D6" w:sz="1"/>
          <w:insideV w:val="single" w:color="B7C3D6" w:sz="1"/>
        </w:tblBorders>
      </w:tblPr>
      <w:tblGrid>
        <w:gridCol w:w="2527"/>
        <w:gridCol w:w="4152"/>
        <w:gridCol w:w="2347"/>
      </w:tblGrid>
      <w:tr>
        <w:trPr>
          <w:tblHeader/>
        </w:trPr>
        <w:tc>
          <w:tcPr>
            <w:tcW w:type="dxa" w:w="2527"/>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External system</w:t>
            </w:r>
          </w:p>
        </w:tc>
        <w:tc>
          <w:tcPr>
            <w:tcW w:type="dxa" w:w="4152"/>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Purpose</w:t>
            </w:r>
          </w:p>
        </w:tc>
        <w:tc>
          <w:tcPr>
            <w:tcW w:type="dxa" w:w="2347"/>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Mode</w:t>
            </w:r>
          </w:p>
        </w:tc>
      </w:tr>
      <w:tr>
        <w:tc>
          <w:tcPr>
            <w:tcW w:type="dxa" w:w="2527"/>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Payment gateway</w:t>
            </w:r>
          </w:p>
        </w:tc>
        <w:tc>
          <w:tcPr>
            <w:tcW w:type="dxa" w:w="4152"/>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Authorise/capture UPI, cards, net-banking, wallets, EMI</w:t>
            </w:r>
          </w:p>
        </w:tc>
        <w:tc>
          <w:tcPr>
            <w:tcW w:type="dxa" w:w="2347"/>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Real-time API + webhooks</w:t>
            </w:r>
          </w:p>
        </w:tc>
      </w:tr>
      <w:tr>
        <w:tc>
          <w:tcPr>
            <w:tcW w:type="dxa" w:w="2527"/>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Logistics / courier aggregator</w:t>
            </w:r>
          </w:p>
        </w:tc>
        <w:tc>
          <w:tcPr>
            <w:tcW w:type="dxa" w:w="4152"/>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Serviceability, rate, label, pickup, tracking</w:t>
            </w:r>
          </w:p>
        </w:tc>
        <w:tc>
          <w:tcPr>
            <w:tcW w:type="dxa" w:w="2347"/>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Real-time API + webhooks</w:t>
            </w:r>
          </w:p>
        </w:tc>
      </w:tr>
      <w:tr>
        <w:tc>
          <w:tcPr>
            <w:tcW w:type="dxa" w:w="2527"/>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Communication providers</w:t>
            </w:r>
          </w:p>
        </w:tc>
        <w:tc>
          <w:tcPr>
            <w:tcW w:type="dxa" w:w="4152"/>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Transactional SMS, WhatsApp, email</w:t>
            </w:r>
          </w:p>
        </w:tc>
        <w:tc>
          <w:tcPr>
            <w:tcW w:type="dxa" w:w="2347"/>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Real-time API</w:t>
            </w:r>
          </w:p>
        </w:tc>
      </w:tr>
      <w:tr>
        <w:tc>
          <w:tcPr>
            <w:tcW w:type="dxa" w:w="2527"/>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ERP / CRM</w:t>
            </w:r>
          </w:p>
        </w:tc>
        <w:tc>
          <w:tcPr>
            <w:tcW w:type="dxa" w:w="4152"/>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Product, pricing, customer, order, finance sync</w:t>
            </w:r>
          </w:p>
        </w:tc>
        <w:tc>
          <w:tcPr>
            <w:tcW w:type="dxa" w:w="2347"/>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API / batch</w:t>
            </w:r>
          </w:p>
        </w:tc>
      </w:tr>
      <w:tr>
        <w:tc>
          <w:tcPr>
            <w:tcW w:type="dxa" w:w="2527"/>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Analytics &amp; tag platform</w:t>
            </w:r>
          </w:p>
        </w:tc>
        <w:tc>
          <w:tcPr>
            <w:tcW w:type="dxa" w:w="4152"/>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Behavioural and commercial analytics</w:t>
            </w:r>
          </w:p>
        </w:tc>
        <w:tc>
          <w:tcPr>
            <w:tcW w:type="dxa" w:w="2347"/>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SDK / event stream</w:t>
            </w:r>
          </w:p>
        </w:tc>
      </w:tr>
    </w:tbl>
    <w:p>
      <w:pPr>
        <w:pStyle w:val="Heading3"/>
      </w:pPr>
      <w:r>
        <w:t xml:space="preserve">3.1.4  Communication Interfaces</w:t>
      </w:r>
    </w:p>
    <w:p>
      <w:pPr>
        <w:spacing w:after="120" w:line="264"/>
      </w:pPr>
      <w:r>
        <w:t xml:space="preserve">All client-server and server-server traffic uses HTTPS/TLS 1.2+. Services expose versioned REST/JSON APIs; asynchronous events use a message broker. Webhooks from payment and logistics partners are authenticated and idempotent.</w:t>
      </w:r>
    </w:p>
    <w:p>
      <w:pPr>
        <w:pStyle w:val="Heading2"/>
      </w:pPr>
      <w:r>
        <w:t xml:space="preserve">3.2  Functional Requirements</w:t>
      </w:r>
    </w:p>
    <w:p>
      <w:pPr>
        <w:spacing w:after="120" w:line="264"/>
      </w:pPr>
      <w:r>
        <w:rPr>
          <w:i/>
          <w:iCs/>
        </w:rPr>
        <w:t xml:space="preserve">The following are the system-level functional requirements. Module-level elaboration — process flows, business rules and acceptance criteria — is in the FRD; FRD identifiers are cross-referenced here and on the wireframe annotations.</w:t>
      </w:r>
    </w:p>
    <w:p>
      <w:pPr>
        <w:pStyle w:val="Heading3"/>
      </w:pPr>
      <w:r>
        <w:t xml:space="preserve">3.2.1  Product Discovery &amp; Merchandising</w:t>
      </w:r>
    </w:p>
    <w:tbl>
      <w:tblPr>
        <w:tblW w:type="dxa" w:w="9026"/>
        <w:tblBorders>
          <w:top w:val="single" w:color="B7C3D6" w:sz="1"/>
          <w:left w:val="single" w:color="B7C3D6" w:sz="1"/>
          <w:bottom w:val="single" w:color="B7C3D6" w:sz="1"/>
          <w:right w:val="single" w:color="B7C3D6" w:sz="1"/>
          <w:insideH w:val="single" w:color="B7C3D6" w:sz="1"/>
          <w:insideV w:val="single" w:color="B7C3D6" w:sz="1"/>
        </w:tblBorders>
      </w:tblPr>
      <w:tblGrid>
        <w:gridCol w:w="1083"/>
        <w:gridCol w:w="6318"/>
        <w:gridCol w:w="1625"/>
      </w:tblGrid>
      <w:tr>
        <w:trPr>
          <w:tblHeader/>
        </w:trPr>
        <w:tc>
          <w:tcPr>
            <w:tcW w:type="dxa" w:w="1083"/>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ID</w:t>
            </w:r>
          </w:p>
        </w:tc>
        <w:tc>
          <w:tcPr>
            <w:tcW w:type="dxa" w:w="6318"/>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Requirement</w:t>
            </w:r>
          </w:p>
        </w:tc>
        <w:tc>
          <w:tcPr>
            <w:tcW w:type="dxa" w:w="1625"/>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FRD ref</w:t>
            </w:r>
          </w:p>
        </w:tc>
      </w:tr>
      <w:tr>
        <w:tc>
          <w:tcPr>
            <w:tcW w:type="dxa" w:w="1083"/>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SRS-FR-01</w:t>
            </w:r>
          </w:p>
        </w:tc>
        <w:tc>
          <w:tcPr>
            <w:tcW w:type="dxa" w:w="6318"/>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The system shall present a home/landing experience with merchandised banners, categories, featured and recommended products.</w:t>
            </w:r>
          </w:p>
        </w:tc>
        <w:tc>
          <w:tcPr>
            <w:tcW w:type="dxa" w:w="1625"/>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FRD-2.x</w:t>
            </w:r>
          </w:p>
        </w:tc>
      </w:tr>
      <w:tr>
        <w:tc>
          <w:tcPr>
            <w:tcW w:type="dxa" w:w="1083"/>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SRS-FR-02</w:t>
            </w:r>
          </w:p>
        </w:tc>
        <w:tc>
          <w:tcPr>
            <w:tcW w:type="dxa" w:w="6318"/>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The system shall provide keyword search with autosuggest, typo-tolerance and relevance ranking.</w:t>
            </w:r>
          </w:p>
        </w:tc>
        <w:tc>
          <w:tcPr>
            <w:tcW w:type="dxa" w:w="1625"/>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FRD-3.1</w:t>
            </w:r>
          </w:p>
        </w:tc>
      </w:tr>
      <w:tr>
        <w:tc>
          <w:tcPr>
            <w:tcW w:type="dxa" w:w="1083"/>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SRS-FR-03</w:t>
            </w:r>
          </w:p>
        </w:tc>
        <w:tc>
          <w:tcPr>
            <w:tcW w:type="dxa" w:w="6318"/>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The system shall provide category browsing with faceted filters (price, brand, rating, attributes) and sorting.</w:t>
            </w:r>
          </w:p>
        </w:tc>
        <w:tc>
          <w:tcPr>
            <w:tcW w:type="dxa" w:w="1625"/>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FRD-3.2</w:t>
            </w:r>
          </w:p>
        </w:tc>
      </w:tr>
      <w:tr>
        <w:tc>
          <w:tcPr>
            <w:tcW w:type="dxa" w:w="1083"/>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SRS-FR-04</w:t>
            </w:r>
          </w:p>
        </w:tc>
        <w:tc>
          <w:tcPr>
            <w:tcW w:type="dxa" w:w="6318"/>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The system shall present personalised recommendations (recently viewed, related, frequently bought together).</w:t>
            </w:r>
          </w:p>
        </w:tc>
        <w:tc>
          <w:tcPr>
            <w:tcW w:type="dxa" w:w="1625"/>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FRD-2.3</w:t>
            </w:r>
          </w:p>
        </w:tc>
      </w:tr>
    </w:tbl>
    <w:p>
      <w:pPr>
        <w:pStyle w:val="Heading3"/>
      </w:pPr>
      <w:r>
        <w:t xml:space="preserve">3.2.2  Product Detail</w:t>
      </w:r>
    </w:p>
    <w:tbl>
      <w:tblPr>
        <w:tblW w:type="dxa" w:w="9026"/>
        <w:tblBorders>
          <w:top w:val="single" w:color="B7C3D6" w:sz="1"/>
          <w:left w:val="single" w:color="B7C3D6" w:sz="1"/>
          <w:bottom w:val="single" w:color="B7C3D6" w:sz="1"/>
          <w:right w:val="single" w:color="B7C3D6" w:sz="1"/>
          <w:insideH w:val="single" w:color="B7C3D6" w:sz="1"/>
          <w:insideV w:val="single" w:color="B7C3D6" w:sz="1"/>
        </w:tblBorders>
      </w:tblPr>
      <w:tblGrid>
        <w:gridCol w:w="1083"/>
        <w:gridCol w:w="6318"/>
        <w:gridCol w:w="1625"/>
      </w:tblGrid>
      <w:tr>
        <w:trPr>
          <w:tblHeader/>
        </w:trPr>
        <w:tc>
          <w:tcPr>
            <w:tcW w:type="dxa" w:w="1083"/>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ID</w:t>
            </w:r>
          </w:p>
        </w:tc>
        <w:tc>
          <w:tcPr>
            <w:tcW w:type="dxa" w:w="6318"/>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Requirement</w:t>
            </w:r>
          </w:p>
        </w:tc>
        <w:tc>
          <w:tcPr>
            <w:tcW w:type="dxa" w:w="1625"/>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FRD ref</w:t>
            </w:r>
          </w:p>
        </w:tc>
      </w:tr>
      <w:tr>
        <w:tc>
          <w:tcPr>
            <w:tcW w:type="dxa" w:w="1083"/>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SRS-FR-05</w:t>
            </w:r>
          </w:p>
        </w:tc>
        <w:tc>
          <w:tcPr>
            <w:tcW w:type="dxa" w:w="6318"/>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The system shall display a product detail page with media gallery, description, specifications, price, offers and availability.</w:t>
            </w:r>
          </w:p>
        </w:tc>
        <w:tc>
          <w:tcPr>
            <w:tcW w:type="dxa" w:w="1625"/>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FRD-3.3</w:t>
            </w:r>
          </w:p>
        </w:tc>
      </w:tr>
      <w:tr>
        <w:tc>
          <w:tcPr>
            <w:tcW w:type="dxa" w:w="1083"/>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SRS-FR-06</w:t>
            </w:r>
          </w:p>
        </w:tc>
        <w:tc>
          <w:tcPr>
            <w:tcW w:type="dxa" w:w="6318"/>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The system shall support product variants (size, colour, etc.) with per-variant price and stock.</w:t>
            </w:r>
          </w:p>
        </w:tc>
        <w:tc>
          <w:tcPr>
            <w:tcW w:type="dxa" w:w="1625"/>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FRD-3.4</w:t>
            </w:r>
          </w:p>
        </w:tc>
      </w:tr>
      <w:tr>
        <w:tc>
          <w:tcPr>
            <w:tcW w:type="dxa" w:w="1083"/>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SRS-FR-07</w:t>
            </w:r>
          </w:p>
        </w:tc>
        <w:tc>
          <w:tcPr>
            <w:tcW w:type="dxa" w:w="6318"/>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The system shall display ratings, reviews and customer Q&amp;A, and allow verified buyers to contribute.</w:t>
            </w:r>
          </w:p>
        </w:tc>
        <w:tc>
          <w:tcPr>
            <w:tcW w:type="dxa" w:w="1625"/>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FRD-9.x</w:t>
            </w:r>
          </w:p>
        </w:tc>
      </w:tr>
    </w:tbl>
    <w:p>
      <w:pPr>
        <w:pStyle w:val="Heading3"/>
      </w:pPr>
      <w:r>
        <w:t xml:space="preserve">3.2.3  Cart &amp; Pricing</w:t>
      </w:r>
    </w:p>
    <w:tbl>
      <w:tblPr>
        <w:tblW w:type="dxa" w:w="9026"/>
        <w:tblBorders>
          <w:top w:val="single" w:color="B7C3D6" w:sz="1"/>
          <w:left w:val="single" w:color="B7C3D6" w:sz="1"/>
          <w:bottom w:val="single" w:color="B7C3D6" w:sz="1"/>
          <w:right w:val="single" w:color="B7C3D6" w:sz="1"/>
          <w:insideH w:val="single" w:color="B7C3D6" w:sz="1"/>
          <w:insideV w:val="single" w:color="B7C3D6" w:sz="1"/>
        </w:tblBorders>
      </w:tblPr>
      <w:tblGrid>
        <w:gridCol w:w="1083"/>
        <w:gridCol w:w="6318"/>
        <w:gridCol w:w="1625"/>
      </w:tblGrid>
      <w:tr>
        <w:trPr>
          <w:tblHeader/>
        </w:trPr>
        <w:tc>
          <w:tcPr>
            <w:tcW w:type="dxa" w:w="1083"/>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ID</w:t>
            </w:r>
          </w:p>
        </w:tc>
        <w:tc>
          <w:tcPr>
            <w:tcW w:type="dxa" w:w="6318"/>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Requirement</w:t>
            </w:r>
          </w:p>
        </w:tc>
        <w:tc>
          <w:tcPr>
            <w:tcW w:type="dxa" w:w="1625"/>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FRD ref</w:t>
            </w:r>
          </w:p>
        </w:tc>
      </w:tr>
      <w:tr>
        <w:tc>
          <w:tcPr>
            <w:tcW w:type="dxa" w:w="1083"/>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SRS-FR-08</w:t>
            </w:r>
          </w:p>
        </w:tc>
        <w:tc>
          <w:tcPr>
            <w:tcW w:type="dxa" w:w="6318"/>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The system shall allow add/update/remove of cart items and save-for-later, persisting the cart for logged-in users.</w:t>
            </w:r>
          </w:p>
        </w:tc>
        <w:tc>
          <w:tcPr>
            <w:tcW w:type="dxa" w:w="1625"/>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FRD-4.1</w:t>
            </w:r>
          </w:p>
        </w:tc>
      </w:tr>
      <w:tr>
        <w:tc>
          <w:tcPr>
            <w:tcW w:type="dxa" w:w="1083"/>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SRS-FR-09</w:t>
            </w:r>
          </w:p>
        </w:tc>
        <w:tc>
          <w:tcPr>
            <w:tcW w:type="dxa" w:w="6318"/>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The system shall apply coupons and promotions and compute item, delivery, tax (GST) and order totals dynamically.</w:t>
            </w:r>
          </w:p>
        </w:tc>
        <w:tc>
          <w:tcPr>
            <w:tcW w:type="dxa" w:w="1625"/>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FRD-4.2</w:t>
            </w:r>
          </w:p>
        </w:tc>
      </w:tr>
    </w:tbl>
    <w:p>
      <w:pPr>
        <w:pStyle w:val="Heading3"/>
      </w:pPr>
      <w:r>
        <w:t xml:space="preserve">3.2.4  Checkout, Payments &amp; Orders</w:t>
      </w:r>
    </w:p>
    <w:tbl>
      <w:tblPr>
        <w:tblW w:type="dxa" w:w="9026"/>
        <w:tblBorders>
          <w:top w:val="single" w:color="B7C3D6" w:sz="1"/>
          <w:left w:val="single" w:color="B7C3D6" w:sz="1"/>
          <w:bottom w:val="single" w:color="B7C3D6" w:sz="1"/>
          <w:right w:val="single" w:color="B7C3D6" w:sz="1"/>
          <w:insideH w:val="single" w:color="B7C3D6" w:sz="1"/>
          <w:insideV w:val="single" w:color="B7C3D6" w:sz="1"/>
        </w:tblBorders>
      </w:tblPr>
      <w:tblGrid>
        <w:gridCol w:w="1083"/>
        <w:gridCol w:w="6318"/>
        <w:gridCol w:w="1625"/>
      </w:tblGrid>
      <w:tr>
        <w:trPr>
          <w:tblHeader/>
        </w:trPr>
        <w:tc>
          <w:tcPr>
            <w:tcW w:type="dxa" w:w="1083"/>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ID</w:t>
            </w:r>
          </w:p>
        </w:tc>
        <w:tc>
          <w:tcPr>
            <w:tcW w:type="dxa" w:w="6318"/>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Requirement</w:t>
            </w:r>
          </w:p>
        </w:tc>
        <w:tc>
          <w:tcPr>
            <w:tcW w:type="dxa" w:w="1625"/>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FRD ref</w:t>
            </w:r>
          </w:p>
        </w:tc>
      </w:tr>
      <w:tr>
        <w:tc>
          <w:tcPr>
            <w:tcW w:type="dxa" w:w="1083"/>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SRS-FR-10</w:t>
            </w:r>
          </w:p>
        </w:tc>
        <w:tc>
          <w:tcPr>
            <w:tcW w:type="dxa" w:w="6318"/>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The system shall support address selection/entry, delivery-option selection and order review before payment.</w:t>
            </w:r>
          </w:p>
        </w:tc>
        <w:tc>
          <w:tcPr>
            <w:tcW w:type="dxa" w:w="1625"/>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FRD-5.1</w:t>
            </w:r>
          </w:p>
        </w:tc>
      </w:tr>
      <w:tr>
        <w:tc>
          <w:tcPr>
            <w:tcW w:type="dxa" w:w="1083"/>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SRS-FR-11</w:t>
            </w:r>
          </w:p>
        </w:tc>
        <w:tc>
          <w:tcPr>
            <w:tcW w:type="dxa" w:w="6318"/>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The system shall support payment via UPI, cards, net-banking, wallets, EMI and Cash-on-Delivery.</w:t>
            </w:r>
          </w:p>
        </w:tc>
        <w:tc>
          <w:tcPr>
            <w:tcW w:type="dxa" w:w="1625"/>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FRD-5.2</w:t>
            </w:r>
          </w:p>
        </w:tc>
      </w:tr>
      <w:tr>
        <w:tc>
          <w:tcPr>
            <w:tcW w:type="dxa" w:w="1083"/>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SRS-FR-12</w:t>
            </w:r>
          </w:p>
        </w:tc>
        <w:tc>
          <w:tcPr>
            <w:tcW w:type="dxa" w:w="6318"/>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The system shall place an order on successful payment (or COD confirmation), generate a unique order ID and a GST-compliant invoice.</w:t>
            </w:r>
          </w:p>
        </w:tc>
        <w:tc>
          <w:tcPr>
            <w:tcW w:type="dxa" w:w="1625"/>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FRD-5.3</w:t>
            </w:r>
          </w:p>
        </w:tc>
      </w:tr>
      <w:tr>
        <w:tc>
          <w:tcPr>
            <w:tcW w:type="dxa" w:w="1083"/>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SRS-FR-13</w:t>
            </w:r>
          </w:p>
        </w:tc>
        <w:tc>
          <w:tcPr>
            <w:tcW w:type="dxa" w:w="6318"/>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The system shall allow customers to track orders, cancel eligible orders, and raise returns/refunds.</w:t>
            </w:r>
          </w:p>
        </w:tc>
        <w:tc>
          <w:tcPr>
            <w:tcW w:type="dxa" w:w="1625"/>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FRD-8.x</w:t>
            </w:r>
          </w:p>
        </w:tc>
      </w:tr>
    </w:tbl>
    <w:p>
      <w:pPr>
        <w:pStyle w:val="Heading3"/>
      </w:pPr>
      <w:r>
        <w:t xml:space="preserve">3.2.5  Account Management</w:t>
      </w:r>
    </w:p>
    <w:tbl>
      <w:tblPr>
        <w:tblW w:type="dxa" w:w="9026"/>
        <w:tblBorders>
          <w:top w:val="single" w:color="B7C3D6" w:sz="1"/>
          <w:left w:val="single" w:color="B7C3D6" w:sz="1"/>
          <w:bottom w:val="single" w:color="B7C3D6" w:sz="1"/>
          <w:right w:val="single" w:color="B7C3D6" w:sz="1"/>
          <w:insideH w:val="single" w:color="B7C3D6" w:sz="1"/>
          <w:insideV w:val="single" w:color="B7C3D6" w:sz="1"/>
        </w:tblBorders>
      </w:tblPr>
      <w:tblGrid>
        <w:gridCol w:w="1083"/>
        <w:gridCol w:w="6318"/>
        <w:gridCol w:w="1625"/>
      </w:tblGrid>
      <w:tr>
        <w:trPr>
          <w:tblHeader/>
        </w:trPr>
        <w:tc>
          <w:tcPr>
            <w:tcW w:type="dxa" w:w="1083"/>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ID</w:t>
            </w:r>
          </w:p>
        </w:tc>
        <w:tc>
          <w:tcPr>
            <w:tcW w:type="dxa" w:w="6318"/>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Requirement</w:t>
            </w:r>
          </w:p>
        </w:tc>
        <w:tc>
          <w:tcPr>
            <w:tcW w:type="dxa" w:w="1625"/>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FRD ref</w:t>
            </w:r>
          </w:p>
        </w:tc>
      </w:tr>
      <w:tr>
        <w:tc>
          <w:tcPr>
            <w:tcW w:type="dxa" w:w="1083"/>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SRS-FR-14</w:t>
            </w:r>
          </w:p>
        </w:tc>
        <w:tc>
          <w:tcPr>
            <w:tcW w:type="dxa" w:w="6318"/>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The system shall support registration and login via mobile/OTP, email and social login, with secure session management.</w:t>
            </w:r>
          </w:p>
        </w:tc>
        <w:tc>
          <w:tcPr>
            <w:tcW w:type="dxa" w:w="1625"/>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FRD-7.1</w:t>
            </w:r>
          </w:p>
        </w:tc>
      </w:tr>
      <w:tr>
        <w:tc>
          <w:tcPr>
            <w:tcW w:type="dxa" w:w="1083"/>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SRS-FR-15</w:t>
            </w:r>
          </w:p>
        </w:tc>
        <w:tc>
          <w:tcPr>
            <w:tcW w:type="dxa" w:w="6318"/>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The system shall let customers manage profile, addresses, saved payment instruments and wishlists.</w:t>
            </w:r>
          </w:p>
        </w:tc>
        <w:tc>
          <w:tcPr>
            <w:tcW w:type="dxa" w:w="1625"/>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FRD-7.2</w:t>
            </w:r>
          </w:p>
        </w:tc>
      </w:tr>
    </w:tbl>
    <w:p>
      <w:pPr>
        <w:pStyle w:val="Heading3"/>
      </w:pPr>
      <w:r>
        <w:t xml:space="preserve">3.2.6  Supply Chain &amp; Operations</w:t>
      </w:r>
    </w:p>
    <w:tbl>
      <w:tblPr>
        <w:tblW w:type="dxa" w:w="9026"/>
        <w:tblBorders>
          <w:top w:val="single" w:color="B7C3D6" w:sz="1"/>
          <w:left w:val="single" w:color="B7C3D6" w:sz="1"/>
          <w:bottom w:val="single" w:color="B7C3D6" w:sz="1"/>
          <w:right w:val="single" w:color="B7C3D6" w:sz="1"/>
          <w:insideH w:val="single" w:color="B7C3D6" w:sz="1"/>
          <w:insideV w:val="single" w:color="B7C3D6" w:sz="1"/>
        </w:tblBorders>
      </w:tblPr>
      <w:tblGrid>
        <w:gridCol w:w="1083"/>
        <w:gridCol w:w="6318"/>
        <w:gridCol w:w="1625"/>
      </w:tblGrid>
      <w:tr>
        <w:trPr>
          <w:tblHeader/>
        </w:trPr>
        <w:tc>
          <w:tcPr>
            <w:tcW w:type="dxa" w:w="1083"/>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ID</w:t>
            </w:r>
          </w:p>
        </w:tc>
        <w:tc>
          <w:tcPr>
            <w:tcW w:type="dxa" w:w="6318"/>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Requirement</w:t>
            </w:r>
          </w:p>
        </w:tc>
        <w:tc>
          <w:tcPr>
            <w:tcW w:type="dxa" w:w="1625"/>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FRD ref</w:t>
            </w:r>
          </w:p>
        </w:tc>
      </w:tr>
      <w:tr>
        <w:tc>
          <w:tcPr>
            <w:tcW w:type="dxa" w:w="1083"/>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SRS-FR-16</w:t>
            </w:r>
          </w:p>
        </w:tc>
        <w:tc>
          <w:tcPr>
            <w:tcW w:type="dxa" w:w="6318"/>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The system shall maintain real-time inventory per SKU across multiple warehouses and prevent overselling.</w:t>
            </w:r>
          </w:p>
        </w:tc>
        <w:tc>
          <w:tcPr>
            <w:tcW w:type="dxa" w:w="1625"/>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FRD-6.1</w:t>
            </w:r>
          </w:p>
        </w:tc>
      </w:tr>
      <w:tr>
        <w:tc>
          <w:tcPr>
            <w:tcW w:type="dxa" w:w="1083"/>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SRS-FR-17</w:t>
            </w:r>
          </w:p>
        </w:tc>
        <w:tc>
          <w:tcPr>
            <w:tcW w:type="dxa" w:w="6318"/>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The system shall raise reorder/low-stock alerts against configurable thresholds.</w:t>
            </w:r>
          </w:p>
        </w:tc>
        <w:tc>
          <w:tcPr>
            <w:tcW w:type="dxa" w:w="1625"/>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FRD-6.2</w:t>
            </w:r>
          </w:p>
        </w:tc>
      </w:tr>
      <w:tr>
        <w:tc>
          <w:tcPr>
            <w:tcW w:type="dxa" w:w="1083"/>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SRS-FR-18</w:t>
            </w:r>
          </w:p>
        </w:tc>
        <w:tc>
          <w:tcPr>
            <w:tcW w:type="dxa" w:w="6318"/>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The system shall allocate orders to the optimal warehouse and courier and generate fulfilment tasks.</w:t>
            </w:r>
          </w:p>
        </w:tc>
        <w:tc>
          <w:tcPr>
            <w:tcW w:type="dxa" w:w="1625"/>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FRD-6.3</w:t>
            </w:r>
          </w:p>
        </w:tc>
      </w:tr>
      <w:tr>
        <w:tc>
          <w:tcPr>
            <w:tcW w:type="dxa" w:w="1083"/>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SRS-FR-19</w:t>
            </w:r>
          </w:p>
        </w:tc>
        <w:tc>
          <w:tcPr>
            <w:tcW w:type="dxa" w:w="6318"/>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The system shall send order, shipping and delivery notifications via SMS, WhatsApp, email and push.</w:t>
            </w:r>
          </w:p>
        </w:tc>
        <w:tc>
          <w:tcPr>
            <w:tcW w:type="dxa" w:w="1625"/>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FRD-6.4</w:t>
            </w:r>
          </w:p>
        </w:tc>
      </w:tr>
    </w:tbl>
    <w:p>
      <w:pPr>
        <w:pStyle w:val="Heading3"/>
      </w:pPr>
      <w:r>
        <w:t xml:space="preserve">3.2.7  Administration &amp; Analytics</w:t>
      </w:r>
    </w:p>
    <w:tbl>
      <w:tblPr>
        <w:tblW w:type="dxa" w:w="9026"/>
        <w:tblBorders>
          <w:top w:val="single" w:color="B7C3D6" w:sz="1"/>
          <w:left w:val="single" w:color="B7C3D6" w:sz="1"/>
          <w:bottom w:val="single" w:color="B7C3D6" w:sz="1"/>
          <w:right w:val="single" w:color="B7C3D6" w:sz="1"/>
          <w:insideH w:val="single" w:color="B7C3D6" w:sz="1"/>
          <w:insideV w:val="single" w:color="B7C3D6" w:sz="1"/>
        </w:tblBorders>
      </w:tblPr>
      <w:tblGrid>
        <w:gridCol w:w="1083"/>
        <w:gridCol w:w="6318"/>
        <w:gridCol w:w="1625"/>
      </w:tblGrid>
      <w:tr>
        <w:trPr>
          <w:tblHeader/>
        </w:trPr>
        <w:tc>
          <w:tcPr>
            <w:tcW w:type="dxa" w:w="1083"/>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ID</w:t>
            </w:r>
          </w:p>
        </w:tc>
        <w:tc>
          <w:tcPr>
            <w:tcW w:type="dxa" w:w="6318"/>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Requirement</w:t>
            </w:r>
          </w:p>
        </w:tc>
        <w:tc>
          <w:tcPr>
            <w:tcW w:type="dxa" w:w="1625"/>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FRD ref</w:t>
            </w:r>
          </w:p>
        </w:tc>
      </w:tr>
      <w:tr>
        <w:tc>
          <w:tcPr>
            <w:tcW w:type="dxa" w:w="1083"/>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SRS-FR-20</w:t>
            </w:r>
          </w:p>
        </w:tc>
        <w:tc>
          <w:tcPr>
            <w:tcW w:type="dxa" w:w="6318"/>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The system shall let authorised staff manage catalog, categories, pricing and promotions.</w:t>
            </w:r>
          </w:p>
        </w:tc>
        <w:tc>
          <w:tcPr>
            <w:tcW w:type="dxa" w:w="1625"/>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FRD-10.1</w:t>
            </w:r>
          </w:p>
        </w:tc>
      </w:tr>
      <w:tr>
        <w:tc>
          <w:tcPr>
            <w:tcW w:type="dxa" w:w="1083"/>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SRS-FR-21</w:t>
            </w:r>
          </w:p>
        </w:tc>
        <w:tc>
          <w:tcPr>
            <w:tcW w:type="dxa" w:w="6318"/>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The system shall provide role-based access control across all back-office capabilities.</w:t>
            </w:r>
          </w:p>
        </w:tc>
        <w:tc>
          <w:tcPr>
            <w:tcW w:type="dxa" w:w="1625"/>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FRD-10.2</w:t>
            </w:r>
          </w:p>
        </w:tc>
      </w:tr>
      <w:tr>
        <w:tc>
          <w:tcPr>
            <w:tcW w:type="dxa" w:w="1083"/>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SRS-FR-22</w:t>
            </w:r>
          </w:p>
        </w:tc>
        <w:tc>
          <w:tcPr>
            <w:tcW w:type="dxa" w:w="6318"/>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The system shall provide dashboards for sales, conversion, inventory and fulfilment performance.</w:t>
            </w:r>
          </w:p>
        </w:tc>
        <w:tc>
          <w:tcPr>
            <w:tcW w:type="dxa" w:w="1625"/>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FRD-10.3</w:t>
            </w:r>
          </w:p>
        </w:tc>
      </w:tr>
    </w:tbl>
    <w:p>
      <w:pPr>
        <w:pStyle w:val="Heading1"/>
      </w:pPr>
      <w:r>
        <w:t xml:space="preserve">4.  Non-Functional Requirements</w:t>
      </w:r>
    </w:p>
    <w:p>
      <w:pPr>
        <w:pStyle w:val="Heading2"/>
      </w:pPr>
      <w:r>
        <w:t xml:space="preserve">4.1  Performance &amp; Scalability  (SRS-NFR-Performance)</w:t>
      </w:r>
    </w:p>
    <w:tbl>
      <w:tblPr>
        <w:tblW w:type="dxa" w:w="9026"/>
        <w:tblBorders>
          <w:top w:val="single" w:color="B7C3D6" w:sz="1"/>
          <w:left w:val="single" w:color="B7C3D6" w:sz="1"/>
          <w:bottom w:val="single" w:color="B7C3D6" w:sz="1"/>
          <w:right w:val="single" w:color="B7C3D6" w:sz="1"/>
          <w:insideH w:val="single" w:color="B7C3D6" w:sz="1"/>
          <w:insideV w:val="single" w:color="B7C3D6" w:sz="1"/>
        </w:tblBorders>
      </w:tblPr>
      <w:tblGrid>
        <w:gridCol w:w="1444"/>
        <w:gridCol w:w="7582"/>
      </w:tblGrid>
      <w:tr>
        <w:trPr>
          <w:tblHeader/>
        </w:trPr>
        <w:tc>
          <w:tcPr>
            <w:tcW w:type="dxa" w:w="1444"/>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ID</w:t>
            </w:r>
          </w:p>
        </w:tc>
        <w:tc>
          <w:tcPr>
            <w:tcW w:type="dxa" w:w="7582"/>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Requirement</w:t>
            </w:r>
          </w:p>
        </w:tc>
      </w:tr>
      <w:tr>
        <w:tc>
          <w:tcPr>
            <w:tcW w:type="dxa" w:w="1444"/>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NFR-P1</w:t>
            </w:r>
          </w:p>
        </w:tc>
        <w:tc>
          <w:tcPr>
            <w:tcW w:type="dxa" w:w="7582"/>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Search and listing pages shall respond within 800 ms at P95 under normal load.</w:t>
            </w:r>
          </w:p>
        </w:tc>
      </w:tr>
      <w:tr>
        <w:tc>
          <w:tcPr>
            <w:tcW w:type="dxa" w:w="1444"/>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NFR-P2</w:t>
            </w:r>
          </w:p>
        </w:tc>
        <w:tc>
          <w:tcPr>
            <w:tcW w:type="dxa" w:w="7582"/>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Product detail pages shall load core content within 2 s at P95 on a 4G mobile connection.</w:t>
            </w:r>
          </w:p>
        </w:tc>
      </w:tr>
      <w:tr>
        <w:tc>
          <w:tcPr>
            <w:tcW w:type="dxa" w:w="1444"/>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NFR-P3</w:t>
            </w:r>
          </w:p>
        </w:tc>
        <w:tc>
          <w:tcPr>
            <w:tcW w:type="dxa" w:w="7582"/>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The platform shall sustain at least 10,000 concurrent active users at steady state and scale horizontally to 5× for festive peaks.</w:t>
            </w:r>
          </w:p>
        </w:tc>
      </w:tr>
      <w:tr>
        <w:tc>
          <w:tcPr>
            <w:tcW w:type="dxa" w:w="1444"/>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NFR-P4</w:t>
            </w:r>
          </w:p>
        </w:tc>
        <w:tc>
          <w:tcPr>
            <w:tcW w:type="dxa" w:w="7582"/>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Checkout and payment confirmation shall complete within 5 s at P95, excluding external gateway latency.</w:t>
            </w:r>
          </w:p>
        </w:tc>
      </w:tr>
    </w:tbl>
    <w:p>
      <w:pPr>
        <w:pStyle w:val="Heading2"/>
      </w:pPr>
      <w:r>
        <w:t xml:space="preserve">4.2  Security &amp; Privacy  (SRS-NFR-Security)</w:t>
      </w:r>
    </w:p>
    <w:tbl>
      <w:tblPr>
        <w:tblW w:type="dxa" w:w="9026"/>
        <w:tblBorders>
          <w:top w:val="single" w:color="B7C3D6" w:sz="1"/>
          <w:left w:val="single" w:color="B7C3D6" w:sz="1"/>
          <w:bottom w:val="single" w:color="B7C3D6" w:sz="1"/>
          <w:right w:val="single" w:color="B7C3D6" w:sz="1"/>
          <w:insideH w:val="single" w:color="B7C3D6" w:sz="1"/>
          <w:insideV w:val="single" w:color="B7C3D6" w:sz="1"/>
        </w:tblBorders>
      </w:tblPr>
      <w:tblGrid>
        <w:gridCol w:w="1444"/>
        <w:gridCol w:w="7582"/>
      </w:tblGrid>
      <w:tr>
        <w:trPr>
          <w:tblHeader/>
        </w:trPr>
        <w:tc>
          <w:tcPr>
            <w:tcW w:type="dxa" w:w="1444"/>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ID</w:t>
            </w:r>
          </w:p>
        </w:tc>
        <w:tc>
          <w:tcPr>
            <w:tcW w:type="dxa" w:w="7582"/>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Requirement</w:t>
            </w:r>
          </w:p>
        </w:tc>
      </w:tr>
      <w:tr>
        <w:tc>
          <w:tcPr>
            <w:tcW w:type="dxa" w:w="1444"/>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NFR-S1</w:t>
            </w:r>
          </w:p>
        </w:tc>
        <w:tc>
          <w:tcPr>
            <w:tcW w:type="dxa" w:w="7582"/>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All data in transit shall be encrypted with TLS 1.2+; sensitive data at rest shall be encrypted.</w:t>
            </w:r>
          </w:p>
        </w:tc>
      </w:tr>
      <w:tr>
        <w:tc>
          <w:tcPr>
            <w:tcW w:type="dxa" w:w="1444"/>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NFR-S2</w:t>
            </w:r>
          </w:p>
        </w:tc>
        <w:tc>
          <w:tcPr>
            <w:tcW w:type="dxa" w:w="7582"/>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Payment processing shall be PCI-DSS compliant; full card numbers shall never be stored by Meridian.</w:t>
            </w:r>
          </w:p>
        </w:tc>
      </w:tr>
      <w:tr>
        <w:tc>
          <w:tcPr>
            <w:tcW w:type="dxa" w:w="1444"/>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NFR-S3</w:t>
            </w:r>
          </w:p>
        </w:tc>
        <w:tc>
          <w:tcPr>
            <w:tcW w:type="dxa" w:w="7582"/>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Authentication shall use secure password hashing/OTP; privileged access shall require multi-factor authentication.</w:t>
            </w:r>
          </w:p>
        </w:tc>
      </w:tr>
      <w:tr>
        <w:tc>
          <w:tcPr>
            <w:tcW w:type="dxa" w:w="1444"/>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NFR-S4</w:t>
            </w:r>
          </w:p>
        </w:tc>
        <w:tc>
          <w:tcPr>
            <w:tcW w:type="dxa" w:w="7582"/>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Personal data handling shall comply with the Digital Personal Data Protection Act, 2023, including consent and data-subject rights.</w:t>
            </w:r>
          </w:p>
        </w:tc>
      </w:tr>
      <w:tr>
        <w:tc>
          <w:tcPr>
            <w:tcW w:type="dxa" w:w="1444"/>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NFR-S5</w:t>
            </w:r>
          </w:p>
        </w:tc>
        <w:tc>
          <w:tcPr>
            <w:tcW w:type="dxa" w:w="7582"/>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The system shall log security-relevant events and protect against OWASP Top-10 vulnerabilities.</w:t>
            </w:r>
          </w:p>
        </w:tc>
      </w:tr>
    </w:tbl>
    <w:p>
      <w:pPr>
        <w:pStyle w:val="Heading2"/>
      </w:pPr>
      <w:r>
        <w:t xml:space="preserve">4.3  Usability &amp; Accessibility  (SRS-NFR-Usability)</w:t>
      </w:r>
    </w:p>
    <w:tbl>
      <w:tblPr>
        <w:tblW w:type="dxa" w:w="9026"/>
        <w:tblBorders>
          <w:top w:val="single" w:color="B7C3D6" w:sz="1"/>
          <w:left w:val="single" w:color="B7C3D6" w:sz="1"/>
          <w:bottom w:val="single" w:color="B7C3D6" w:sz="1"/>
          <w:right w:val="single" w:color="B7C3D6" w:sz="1"/>
          <w:insideH w:val="single" w:color="B7C3D6" w:sz="1"/>
          <w:insideV w:val="single" w:color="B7C3D6" w:sz="1"/>
        </w:tblBorders>
      </w:tblPr>
      <w:tblGrid>
        <w:gridCol w:w="1444"/>
        <w:gridCol w:w="7582"/>
      </w:tblGrid>
      <w:tr>
        <w:trPr>
          <w:tblHeader/>
        </w:trPr>
        <w:tc>
          <w:tcPr>
            <w:tcW w:type="dxa" w:w="1444"/>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ID</w:t>
            </w:r>
          </w:p>
        </w:tc>
        <w:tc>
          <w:tcPr>
            <w:tcW w:type="dxa" w:w="7582"/>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Requirement</w:t>
            </w:r>
          </w:p>
        </w:tc>
      </w:tr>
      <w:tr>
        <w:tc>
          <w:tcPr>
            <w:tcW w:type="dxa" w:w="1444"/>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NFR-U1</w:t>
            </w:r>
          </w:p>
        </w:tc>
        <w:tc>
          <w:tcPr>
            <w:tcW w:type="dxa" w:w="7582"/>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The customer journey from search to order shall be completable in no more than five primary steps.</w:t>
            </w:r>
          </w:p>
        </w:tc>
      </w:tr>
      <w:tr>
        <w:tc>
          <w:tcPr>
            <w:tcW w:type="dxa" w:w="1444"/>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NFR-U2</w:t>
            </w:r>
          </w:p>
        </w:tc>
        <w:tc>
          <w:tcPr>
            <w:tcW w:type="dxa" w:w="7582"/>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The UI shall be responsive across desktop, tablet and mobile and consistent with the approved design system.</w:t>
            </w:r>
          </w:p>
        </w:tc>
      </w:tr>
      <w:tr>
        <w:tc>
          <w:tcPr>
            <w:tcW w:type="dxa" w:w="1444"/>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NFR-U3</w:t>
            </w:r>
          </w:p>
        </w:tc>
        <w:tc>
          <w:tcPr>
            <w:tcW w:type="dxa" w:w="7582"/>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Customer-facing screens shall meet WCAG 2.1 AA accessibility guidelines.</w:t>
            </w:r>
          </w:p>
        </w:tc>
      </w:tr>
      <w:tr>
        <w:tc>
          <w:tcPr>
            <w:tcW w:type="dxa" w:w="1444"/>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NFR-U4</w:t>
            </w:r>
          </w:p>
        </w:tc>
        <w:tc>
          <w:tcPr>
            <w:tcW w:type="dxa" w:w="7582"/>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Error, empty and loading states shall be clear, recoverable and non-technical for end users.</w:t>
            </w:r>
          </w:p>
        </w:tc>
      </w:tr>
    </w:tbl>
    <w:p>
      <w:pPr>
        <w:pStyle w:val="Heading2"/>
      </w:pPr>
      <w:r>
        <w:t xml:space="preserve">4.4  Reliability &amp; Availability  (SRS-NFR-Reliability)</w:t>
      </w:r>
    </w:p>
    <w:tbl>
      <w:tblPr>
        <w:tblW w:type="dxa" w:w="9026"/>
        <w:tblBorders>
          <w:top w:val="single" w:color="B7C3D6" w:sz="1"/>
          <w:left w:val="single" w:color="B7C3D6" w:sz="1"/>
          <w:bottom w:val="single" w:color="B7C3D6" w:sz="1"/>
          <w:right w:val="single" w:color="B7C3D6" w:sz="1"/>
          <w:insideH w:val="single" w:color="B7C3D6" w:sz="1"/>
          <w:insideV w:val="single" w:color="B7C3D6" w:sz="1"/>
        </w:tblBorders>
      </w:tblPr>
      <w:tblGrid>
        <w:gridCol w:w="1444"/>
        <w:gridCol w:w="7582"/>
      </w:tblGrid>
      <w:tr>
        <w:trPr>
          <w:tblHeader/>
        </w:trPr>
        <w:tc>
          <w:tcPr>
            <w:tcW w:type="dxa" w:w="1444"/>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ID</w:t>
            </w:r>
          </w:p>
        </w:tc>
        <w:tc>
          <w:tcPr>
            <w:tcW w:type="dxa" w:w="7582"/>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Requirement</w:t>
            </w:r>
          </w:p>
        </w:tc>
      </w:tr>
      <w:tr>
        <w:tc>
          <w:tcPr>
            <w:tcW w:type="dxa" w:w="1444"/>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NFR-R1</w:t>
            </w:r>
          </w:p>
        </w:tc>
        <w:tc>
          <w:tcPr>
            <w:tcW w:type="dxa" w:w="7582"/>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The platform shall provide ≥ 99.9% monthly availability for customer-facing services.</w:t>
            </w:r>
          </w:p>
        </w:tc>
      </w:tr>
      <w:tr>
        <w:tc>
          <w:tcPr>
            <w:tcW w:type="dxa" w:w="1444"/>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NFR-R2</w:t>
            </w:r>
          </w:p>
        </w:tc>
        <w:tc>
          <w:tcPr>
            <w:tcW w:type="dxa" w:w="7582"/>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Recovery objectives shall be RTO ≤ 1 hour and RPO ≤ 15 minutes for transactional data.</w:t>
            </w:r>
          </w:p>
        </w:tc>
      </w:tr>
      <w:tr>
        <w:tc>
          <w:tcPr>
            <w:tcW w:type="dxa" w:w="1444"/>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NFR-R3</w:t>
            </w:r>
          </w:p>
        </w:tc>
        <w:tc>
          <w:tcPr>
            <w:tcW w:type="dxa" w:w="7582"/>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No single component failure shall cause total outage; services shall degrade gracefully.</w:t>
            </w:r>
          </w:p>
        </w:tc>
      </w:tr>
      <w:tr>
        <w:tc>
          <w:tcPr>
            <w:tcW w:type="dxa" w:w="1444"/>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NFR-R4</w:t>
            </w:r>
          </w:p>
        </w:tc>
        <w:tc>
          <w:tcPr>
            <w:tcW w:type="dxa" w:w="7582"/>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Automated backups shall run daily with periodic restore testing.</w:t>
            </w:r>
          </w:p>
        </w:tc>
      </w:tr>
    </w:tbl>
    <w:p>
      <w:pPr>
        <w:pStyle w:val="Heading2"/>
      </w:pPr>
      <w:r>
        <w:t xml:space="preserve">4.5  Maintainability &amp; Compliance</w:t>
      </w:r>
    </w:p>
    <w:tbl>
      <w:tblPr>
        <w:tblW w:type="dxa" w:w="9026"/>
        <w:tblBorders>
          <w:top w:val="single" w:color="B7C3D6" w:sz="1"/>
          <w:left w:val="single" w:color="B7C3D6" w:sz="1"/>
          <w:bottom w:val="single" w:color="B7C3D6" w:sz="1"/>
          <w:right w:val="single" w:color="B7C3D6" w:sz="1"/>
          <w:insideH w:val="single" w:color="B7C3D6" w:sz="1"/>
          <w:insideV w:val="single" w:color="B7C3D6" w:sz="1"/>
        </w:tblBorders>
      </w:tblPr>
      <w:tblGrid>
        <w:gridCol w:w="1444"/>
        <w:gridCol w:w="7582"/>
      </w:tblGrid>
      <w:tr>
        <w:trPr>
          <w:tblHeader/>
        </w:trPr>
        <w:tc>
          <w:tcPr>
            <w:tcW w:type="dxa" w:w="1444"/>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ID</w:t>
            </w:r>
          </w:p>
        </w:tc>
        <w:tc>
          <w:tcPr>
            <w:tcW w:type="dxa" w:w="7582"/>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Requirement</w:t>
            </w:r>
          </w:p>
        </w:tc>
      </w:tr>
      <w:tr>
        <w:tc>
          <w:tcPr>
            <w:tcW w:type="dxa" w:w="1444"/>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NFR-M1</w:t>
            </w:r>
          </w:p>
        </w:tc>
        <w:tc>
          <w:tcPr>
            <w:tcW w:type="dxa" w:w="7582"/>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Services shall be modular and independently deployable via CI/CD with automated test gates.</w:t>
            </w:r>
          </w:p>
        </w:tc>
      </w:tr>
      <w:tr>
        <w:tc>
          <w:tcPr>
            <w:tcW w:type="dxa" w:w="1444"/>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NFR-M2</w:t>
            </w:r>
          </w:p>
        </w:tc>
        <w:tc>
          <w:tcPr>
            <w:tcW w:type="dxa" w:w="7582"/>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Code, APIs and infrastructure shall be documented to agreed standards.</w:t>
            </w:r>
          </w:p>
        </w:tc>
      </w:tr>
      <w:tr>
        <w:tc>
          <w:tcPr>
            <w:tcW w:type="dxa" w:w="1444"/>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NFR-M3</w:t>
            </w:r>
          </w:p>
        </w:tc>
        <w:tc>
          <w:tcPr>
            <w:tcW w:type="dxa" w:w="7582"/>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Invoicing, tax and financial records shall comply with Indian GST regulations.</w:t>
            </w:r>
          </w:p>
        </w:tc>
      </w:tr>
      <w:tr>
        <w:tc>
          <w:tcPr>
            <w:tcW w:type="dxa" w:w="1444"/>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NFR-M4</w:t>
            </w:r>
          </w:p>
        </w:tc>
        <w:tc>
          <w:tcPr>
            <w:tcW w:type="dxa" w:w="7582"/>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The platform shall expose observability (logs, metrics, traces, alerting) for all critical paths.</w:t>
            </w:r>
          </w:p>
        </w:tc>
      </w:tr>
    </w:tbl>
    <w:p>
      <w:pPr>
        <w:pStyle w:val="Heading1"/>
      </w:pPr>
      <w:r>
        <w:t xml:space="preserve">5.  Data Requirements</w:t>
      </w:r>
    </w:p>
    <w:p>
      <w:pPr>
        <w:spacing w:after="120" w:line="264"/>
      </w:pPr>
      <w:r>
        <w:t xml:space="preserve">The platform manages the following principal data entities. Detailed attributes and relationships are defined in the data model maintained by the architecture team.</w:t>
      </w:r>
    </w:p>
    <w:tbl>
      <w:tblPr>
        <w:tblW w:type="dxa" w:w="9026"/>
        <w:tblBorders>
          <w:top w:val="single" w:color="B7C3D6" w:sz="1"/>
          <w:left w:val="single" w:color="B7C3D6" w:sz="1"/>
          <w:bottom w:val="single" w:color="B7C3D6" w:sz="1"/>
          <w:right w:val="single" w:color="B7C3D6" w:sz="1"/>
          <w:insideH w:val="single" w:color="B7C3D6" w:sz="1"/>
          <w:insideV w:val="single" w:color="B7C3D6" w:sz="1"/>
        </w:tblBorders>
      </w:tblPr>
      <w:tblGrid>
        <w:gridCol w:w="1805"/>
        <w:gridCol w:w="4152"/>
        <w:gridCol w:w="3069"/>
      </w:tblGrid>
      <w:tr>
        <w:trPr>
          <w:tblHeader/>
        </w:trPr>
        <w:tc>
          <w:tcPr>
            <w:tcW w:type="dxa" w:w="1805"/>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Entity</w:t>
            </w:r>
          </w:p>
        </w:tc>
        <w:tc>
          <w:tcPr>
            <w:tcW w:type="dxa" w:w="4152"/>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Description</w:t>
            </w:r>
          </w:p>
        </w:tc>
        <w:tc>
          <w:tcPr>
            <w:tcW w:type="dxa" w:w="3069"/>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Key relationships</w:t>
            </w:r>
          </w:p>
        </w:tc>
      </w:tr>
      <w:tr>
        <w:tc>
          <w:tcPr>
            <w:tcW w:type="dxa" w:w="1805"/>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Customer</w:t>
            </w:r>
          </w:p>
        </w:tc>
        <w:tc>
          <w:tcPr>
            <w:tcW w:type="dxa" w:w="4152"/>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Registered user profile, contacts, consent</w:t>
            </w:r>
          </w:p>
        </w:tc>
        <w:tc>
          <w:tcPr>
            <w:tcW w:type="dxa" w:w="3069"/>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Has Addresses, Orders, Wishlists, Payment tokens</w:t>
            </w:r>
          </w:p>
        </w:tc>
      </w:tr>
      <w:tr>
        <w:tc>
          <w:tcPr>
            <w:tcW w:type="dxa" w:w="1805"/>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Product / SKU</w:t>
            </w:r>
          </w:p>
        </w:tc>
        <w:tc>
          <w:tcPr>
            <w:tcW w:type="dxa" w:w="4152"/>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Catalog item and sellable variants</w:t>
            </w:r>
          </w:p>
        </w:tc>
        <w:tc>
          <w:tcPr>
            <w:tcW w:type="dxa" w:w="3069"/>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Belongs to Category; has Inventory, Reviews, Price</w:t>
            </w:r>
          </w:p>
        </w:tc>
      </w:tr>
      <w:tr>
        <w:tc>
          <w:tcPr>
            <w:tcW w:type="dxa" w:w="1805"/>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Category</w:t>
            </w:r>
          </w:p>
        </w:tc>
        <w:tc>
          <w:tcPr>
            <w:tcW w:type="dxa" w:w="4152"/>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Hierarchical product classification</w:t>
            </w:r>
          </w:p>
        </w:tc>
        <w:tc>
          <w:tcPr>
            <w:tcW w:type="dxa" w:w="3069"/>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Has Products</w:t>
            </w:r>
          </w:p>
        </w:tc>
      </w:tr>
      <w:tr>
        <w:tc>
          <w:tcPr>
            <w:tcW w:type="dxa" w:w="1805"/>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Cart</w:t>
            </w:r>
          </w:p>
        </w:tc>
        <w:tc>
          <w:tcPr>
            <w:tcW w:type="dxa" w:w="4152"/>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Active basket for a user/session</w:t>
            </w:r>
          </w:p>
        </w:tc>
        <w:tc>
          <w:tcPr>
            <w:tcW w:type="dxa" w:w="3069"/>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References SKUs and quantities</w:t>
            </w:r>
          </w:p>
        </w:tc>
      </w:tr>
      <w:tr>
        <w:tc>
          <w:tcPr>
            <w:tcW w:type="dxa" w:w="1805"/>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Order</w:t>
            </w:r>
          </w:p>
        </w:tc>
        <w:tc>
          <w:tcPr>
            <w:tcW w:type="dxa" w:w="4152"/>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Confirmed purchase with line items</w:t>
            </w:r>
          </w:p>
        </w:tc>
        <w:tc>
          <w:tcPr>
            <w:tcW w:type="dxa" w:w="3069"/>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Belongs to Customer; has Payments, Shipments, Invoice</w:t>
            </w:r>
          </w:p>
        </w:tc>
      </w:tr>
      <w:tr>
        <w:tc>
          <w:tcPr>
            <w:tcW w:type="dxa" w:w="1805"/>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Payment</w:t>
            </w:r>
          </w:p>
        </w:tc>
        <w:tc>
          <w:tcPr>
            <w:tcW w:type="dxa" w:w="4152"/>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Transaction record and status</w:t>
            </w:r>
          </w:p>
        </w:tc>
        <w:tc>
          <w:tcPr>
            <w:tcW w:type="dxa" w:w="3069"/>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Belongs to Order</w:t>
            </w:r>
          </w:p>
        </w:tc>
      </w:tr>
      <w:tr>
        <w:tc>
          <w:tcPr>
            <w:tcW w:type="dxa" w:w="1805"/>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Inventory</w:t>
            </w:r>
          </w:p>
        </w:tc>
        <w:tc>
          <w:tcPr>
            <w:tcW w:type="dxa" w:w="4152"/>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Stock per SKU per warehouse</w:t>
            </w:r>
          </w:p>
        </w:tc>
        <w:tc>
          <w:tcPr>
            <w:tcW w:type="dxa" w:w="3069"/>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References SKU and Warehouse</w:t>
            </w:r>
          </w:p>
        </w:tc>
      </w:tr>
      <w:tr>
        <w:tc>
          <w:tcPr>
            <w:tcW w:type="dxa" w:w="1805"/>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Warehouse</w:t>
            </w:r>
          </w:p>
        </w:tc>
        <w:tc>
          <w:tcPr>
            <w:tcW w:type="dxa" w:w="4152"/>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Fulfilment location</w:t>
            </w:r>
          </w:p>
        </w:tc>
        <w:tc>
          <w:tcPr>
            <w:tcW w:type="dxa" w:w="3069"/>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Has Inventory; serves Shipments</w:t>
            </w:r>
          </w:p>
        </w:tc>
      </w:tr>
      <w:tr>
        <w:tc>
          <w:tcPr>
            <w:tcW w:type="dxa" w:w="1805"/>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Shipment</w:t>
            </w:r>
          </w:p>
        </w:tc>
        <w:tc>
          <w:tcPr>
            <w:tcW w:type="dxa" w:w="4152"/>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Dispatch and tracking record</w:t>
            </w:r>
          </w:p>
        </w:tc>
        <w:tc>
          <w:tcPr>
            <w:tcW w:type="dxa" w:w="3069"/>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Belongs to Order; references Courier</w:t>
            </w:r>
          </w:p>
        </w:tc>
      </w:tr>
      <w:tr>
        <w:tc>
          <w:tcPr>
            <w:tcW w:type="dxa" w:w="1805"/>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Promotion / Coupon</w:t>
            </w:r>
          </w:p>
        </w:tc>
        <w:tc>
          <w:tcPr>
            <w:tcW w:type="dxa" w:w="4152"/>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Discount rules and eligibility</w:t>
            </w:r>
          </w:p>
        </w:tc>
        <w:tc>
          <w:tcPr>
            <w:tcW w:type="dxa" w:w="3069"/>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Applies to Cart/Order</w:t>
            </w:r>
          </w:p>
        </w:tc>
      </w:tr>
    </w:tbl>
    <w:p>
      <w:pPr>
        <w:spacing w:after="120" w:line="264"/>
      </w:pPr>
      <w:r>
        <w:rPr>
          <w:b/>
          <w:bCs/>
        </w:rPr>
        <w:t xml:space="preserve">Data retention: </w:t>
      </w:r>
      <w:r>
        <w:t xml:space="preserve">transactional and financial records are retained per statutory requirements; personal data is retained only as long as necessary and is erasable on validated request in line with the DPDP Act, 2023.</w:t>
      </w:r>
    </w:p>
    <w:p>
      <w:pPr>
        <w:pStyle w:val="Heading1"/>
      </w:pPr>
      <w:r>
        <w:t xml:space="preserve">6.  Requirement Verification</w:t>
      </w:r>
    </w:p>
    <w:p>
      <w:pPr>
        <w:spacing w:after="120" w:line="264"/>
      </w:pPr>
      <w:r>
        <w:t xml:space="preserve">Each requirement is verifiable. Verification methods and the overall test approach (unit, integration, system, performance, security, UAT) are defined in the PMP and executed against the acceptance criteria in the FRD.</w:t>
      </w:r>
    </w:p>
    <w:tbl>
      <w:tblPr>
        <w:tblW w:type="dxa" w:w="9026"/>
        <w:tblBorders>
          <w:top w:val="single" w:color="B7C3D6" w:sz="1"/>
          <w:left w:val="single" w:color="B7C3D6" w:sz="1"/>
          <w:bottom w:val="single" w:color="B7C3D6" w:sz="1"/>
          <w:right w:val="single" w:color="B7C3D6" w:sz="1"/>
          <w:insideH w:val="single" w:color="B7C3D6" w:sz="1"/>
          <w:insideV w:val="single" w:color="B7C3D6" w:sz="1"/>
        </w:tblBorders>
      </w:tblPr>
      <w:tblGrid>
        <w:gridCol w:w="3069"/>
        <w:gridCol w:w="5957"/>
      </w:tblGrid>
      <w:tr>
        <w:trPr>
          <w:tblHeader/>
        </w:trPr>
        <w:tc>
          <w:tcPr>
            <w:tcW w:type="dxa" w:w="3069"/>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Requirement group</w:t>
            </w:r>
          </w:p>
        </w:tc>
        <w:tc>
          <w:tcPr>
            <w:tcW w:type="dxa" w:w="5957"/>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Primary verification method</w:t>
            </w:r>
          </w:p>
        </w:tc>
      </w:tr>
      <w:tr>
        <w:tc>
          <w:tcPr>
            <w:tcW w:type="dxa" w:w="3069"/>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Functional (SRS-FR-*)</w:t>
            </w:r>
          </w:p>
        </w:tc>
        <w:tc>
          <w:tcPr>
            <w:tcW w:type="dxa" w:w="5957"/>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Functional &amp; integration testing against FRD acceptance criteria; UAT sign-off</w:t>
            </w:r>
          </w:p>
        </w:tc>
      </w:tr>
      <w:tr>
        <w:tc>
          <w:tcPr>
            <w:tcW w:type="dxa" w:w="3069"/>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Performance (NFR-P*)</w:t>
            </w:r>
          </w:p>
        </w:tc>
        <w:tc>
          <w:tcPr>
            <w:tcW w:type="dxa" w:w="5957"/>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Load, stress and soak testing against stated thresholds</w:t>
            </w:r>
          </w:p>
        </w:tc>
      </w:tr>
      <w:tr>
        <w:tc>
          <w:tcPr>
            <w:tcW w:type="dxa" w:w="3069"/>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Security (NFR-S*)</w:t>
            </w:r>
          </w:p>
        </w:tc>
        <w:tc>
          <w:tcPr>
            <w:tcW w:type="dxa" w:w="5957"/>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Static/dynamic scanning, penetration test, PCI/DPDP compliance review</w:t>
            </w:r>
          </w:p>
        </w:tc>
      </w:tr>
      <w:tr>
        <w:tc>
          <w:tcPr>
            <w:tcW w:type="dxa" w:w="3069"/>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Usability (NFR-U*)</w:t>
            </w:r>
          </w:p>
        </w:tc>
        <w:tc>
          <w:tcPr>
            <w:tcW w:type="dxa" w:w="5957"/>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Heuristic review, accessibility audit, moderated usability testing</w:t>
            </w:r>
          </w:p>
        </w:tc>
      </w:tr>
      <w:tr>
        <w:tc>
          <w:tcPr>
            <w:tcW w:type="dxa" w:w="3069"/>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Reliability (NFR-R*)</w:t>
            </w:r>
          </w:p>
        </w:tc>
        <w:tc>
          <w:tcPr>
            <w:tcW w:type="dxa" w:w="5957"/>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Failover, backup-restore and chaos testing in staging</w:t>
            </w:r>
          </w:p>
        </w:tc>
      </w:tr>
    </w:tbl>
    <w:p>
      <w:pPr>
        <w:spacing w:after="200"/>
      </w:pPr>
      <w:r>
        <w:t xml:space="preserve"/>
      </w:r>
    </w:p>
    <w:p>
      <w:pPr>
        <w:spacing w:after="120" w:line="264"/>
        <w:jc w:val="center"/>
      </w:pPr>
      <w:r>
        <w:rPr>
          <w:i/>
          <w:iCs/>
          <w:color w:val="909090"/>
        </w:rPr>
        <w:t xml:space="preserve">— End of Software Requirements Specification (SRS-HRZN-001)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9A9A9A"/>
        <w:sz w:val="16"/>
        <w:szCs w:val="16"/>
      </w:rPr>
      <w:t xml:space="preserve">Confidential</w:t>
    </w:r>
    <w:r>
      <w:rPr>
        <w:color w:val="9A9A9A"/>
        <w:sz w:val="16"/>
        <w:szCs w:val="16"/>
      </w:rPr>
      <w:t xml:space="preserve">	Page </w:t>
    </w:r>
    <w:r>
      <w:rPr>
        <w:color w:val="9A9A9A"/>
        <w:sz w:val="16"/>
        <w:szCs w:val="16"/>
      </w:rPr>
      <w:fldChar w:fldCharType="begin"/>
      <w:instrText xml:space="preserve">PAGE</w:instrText>
      <w:fldChar w:fldCharType="separate"/>
      <w:fldChar w:fldCharType="end"/>
    </w:r>
    <w:r>
      <w:rPr>
        <w:color w:val="9A9A9A"/>
        <w:sz w:val="16"/>
        <w:szCs w:val="16"/>
      </w:rPr>
      <w:t xml:space="preserve"> of </w:t>
    </w:r>
    <w:r>
      <w:rPr>
        <w:color w:val="9A9A9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tabs>
        <w:tab w:val="right" w:pos="9026"/>
      </w:tabs>
    </w:pPr>
    <w:r>
      <w:rPr>
        <w:color w:val="7A7A7A"/>
        <w:sz w:val="16"/>
        <w:szCs w:val="16"/>
      </w:rPr>
      <w:t xml:space="preserve">Meridian Retail Pvt. Ltd.  |  Project Horizon — ShopSphere</w:t>
    </w:r>
    <w:r>
      <w:rPr>
        <w:color w:val="7A7A7A"/>
        <w:sz w:val="16"/>
        <w:szCs w:val="16"/>
      </w:rPr>
      <w:t xml:space="preserve">	SRS-HRZN-001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Arial" w:cs="Arial" w:eastAsia="Arial" w:hAnsi="Arial"/>
      <w:b/>
      <w:bCs/>
      <w:color w:val="1F3864"/>
      <w:sz w:val="56"/>
      <w:szCs w:val="56"/>
    </w:rPr>
  </w:style>
  <w:style w:type="paragraph" w:styleId="Heading1">
    <w:name w:val="Heading 1"/>
    <w:basedOn w:val="Normal"/>
    <w:next w:val="Normal"/>
    <w:qFormat/>
    <w:pPr>
      <w:pBdr>
        <w:bottom w:val="single" w:color="2E5496" w:sz="10" w:space="4"/>
      </w:pBdr>
      <w:spacing w:after="14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90" w:before="220"/>
      <w:outlineLvl w:val="1"/>
    </w:pPr>
    <w:rPr>
      <w:rFonts w:ascii="Arial" w:cs="Arial" w:eastAsia="Arial" w:hAnsi="Arial"/>
      <w:b/>
      <w:bCs/>
      <w:color w:val="2E5496"/>
      <w:sz w:val="24"/>
      <w:szCs w:val="24"/>
    </w:rPr>
  </w:style>
  <w:style w:type="paragraph" w:styleId="Heading3">
    <w:name w:val="Heading 3"/>
    <w:basedOn w:val="Normal"/>
    <w:next w:val="Normal"/>
    <w:qFormat/>
    <w:pPr>
      <w:spacing w:after="70" w:before="160"/>
      <w:outlineLvl w:val="2"/>
    </w:pPr>
    <w:rPr>
      <w:rFonts w:ascii="Arial" w:cs="Arial" w:eastAsia="Arial" w:hAnsi="Arial"/>
      <w:b/>
      <w:bCs/>
      <w:color w:val="333333"/>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2026-06-07T04:35:03.720Z</dcterms:created>
  <dcterms:modified xsi:type="dcterms:W3CDTF">2026-06-07T04:35:03.720Z</dcterms:modified>
</cp:coreProperties>
</file>

<file path=docProps/custom.xml><?xml version="1.0" encoding="utf-8"?>
<Properties xmlns="http://schemas.openxmlformats.org/officeDocument/2006/custom-properties" xmlns:vt="http://schemas.openxmlformats.org/officeDocument/2006/docPropsVTypes"/>
</file>