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Monitoring in Production</w:t>
      </w:r>
    </w:p>
    <w:p>
      <w:r>
        <w:t>Once a machine learning model is deployed, its inputs drift away from the training distribution over time. Monitoring compares the live feature distribution against a reference window and raises an alert when the population stability index exceeds a threshold.</w:t>
      </w:r>
    </w:p>
    <w:p>
      <w:pPr>
        <w:pStyle w:val="Heading2"/>
      </w:pPr>
      <w:r>
        <w:t>Data Drift vs Concept Drift</w:t>
      </w:r>
    </w:p>
    <w:p>
      <w:r>
        <w:t>Data drift means the input distribution changes while the mapping from inputs to labels stays the same. Concept drift means the relationship between inputs and the target itself changes, so a model that was accurate becomes stale even though the inputs look familiar.</w:t>
      </w:r>
    </w:p>
    <w:p>
      <w:pPr>
        <w:pStyle w:val="Heading2"/>
      </w:pPr>
      <w:r>
        <w:t>Why Monitoring Matters for RAG</w:t>
      </w:r>
    </w:p>
    <w:p>
      <w:r>
        <w:t>A retrieval system degrades silently: if new documents are added but the index is not rebuilt, recall drops without any error. Tracking recall@k on a fixed evaluation set over time catches this regression 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