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480" w:after="120"/>
        <w:jc w:val="center"/>
        <w:rPr>
          <w:b/>
          <w:bCs/>
          <w:sz w:val="46"/>
          <w:szCs w:val="46"/>
        </w:rPr>
      </w:pPr>
      <w:bookmarkStart w:id="0" w:name="_orwydkj3dqqa"/>
      <w:bookmarkEnd w:id="0"/>
      <w:r>
        <w:rPr>
          <w:b/>
          <w:bCs/>
          <w:sz w:val="46"/>
          <w:szCs w:val="46"/>
        </w:rPr>
        <w:t>Architecture Decision Records (ADR) – Two-Tier Web Service</w:t>
      </w:r>
    </w:p>
    <w:p>
      <w:pPr>
        <w:pStyle w:val="Heading2"/>
        <w:keepNext w:val="false"/>
        <w:keepLines w:val="false"/>
        <w:spacing w:lineRule="auto" w:line="240" w:before="360" w:after="80"/>
        <w:rPr>
          <w:b/>
          <w:bCs/>
          <w:sz w:val="34"/>
          <w:szCs w:val="34"/>
        </w:rPr>
      </w:pPr>
      <w:bookmarkStart w:id="1" w:name="_nb9zkf858a9j"/>
      <w:bookmarkEnd w:id="1"/>
      <w:r>
        <w:rPr>
          <w:b/>
          <w:bCs/>
          <w:sz w:val="34"/>
          <w:szCs w:val="34"/>
        </w:rPr>
        <w:t>1. Introduction:</w:t>
      </w:r>
    </w:p>
    <w:p>
      <w:pPr>
        <w:pStyle w:val="normal1"/>
        <w:spacing w:lineRule="auto" w:line="240" w:before="240" w:after="240"/>
        <w:rPr/>
      </w:pPr>
      <w:r>
        <w:rPr/>
        <w:t>Architecture Decision Records (ADRs) document important technical decisions, the reasons behind them, and their expected consequences. They help the development team understand why an architecture or technology was selected.</w:t>
      </w:r>
    </w:p>
    <w:p>
      <w:pPr>
        <w:pStyle w:val="normal1"/>
        <w:spacing w:lineRule="auto" w:line="240" w:before="240" w:after="240"/>
        <w:rPr/>
      </w:pPr>
      <w:r>
        <w:rPr/>
        <w:t>This document records the proposed architecture decisions for a two-tier web service. The decisions should be reviewed and validated before production deployment.</w:t>
      </w:r>
    </w:p>
    <w:p>
      <w:pPr>
        <w:pStyle w:val="Heading2"/>
        <w:keepNext w:val="false"/>
        <w:keepLines w:val="false"/>
        <w:spacing w:lineRule="auto" w:line="240" w:before="360" w:after="80"/>
        <w:rPr>
          <w:b/>
          <w:bCs/>
          <w:sz w:val="34"/>
          <w:szCs w:val="34"/>
        </w:rPr>
      </w:pPr>
      <w:bookmarkStart w:id="2" w:name="_a53iznicc2x2"/>
      <w:bookmarkEnd w:id="2"/>
      <w:r>
        <w:rPr>
          <w:b/>
          <w:bCs/>
          <w:sz w:val="34"/>
          <w:szCs w:val="34"/>
        </w:rPr>
        <w:t>2. ADR-001: Select a Cloud Region:</w:t>
      </w:r>
    </w:p>
    <w:p>
      <w:pPr>
        <w:pStyle w:val="normal1"/>
        <w:spacing w:lineRule="auto" w:line="240" w:before="240" w:after="240"/>
        <w:rPr/>
      </w:pPr>
      <w:r>
        <w:rPr>
          <w:b/>
          <w:bCs/>
        </w:rPr>
        <w:t>Status:</w:t>
      </w:r>
      <w:r>
        <w:rPr/>
        <w:t xml:space="preserve"> Proposed</w:t>
      </w:r>
    </w:p>
    <w:p>
      <w:pPr>
        <w:pStyle w:val="normal1"/>
        <w:spacing w:lineRule="auto" w:line="240" w:before="240" w:after="240"/>
        <w:rPr>
          <w:b/>
          <w:bCs/>
        </w:rPr>
      </w:pPr>
      <w:r>
        <w:rPr>
          <w:b/>
          <w:bCs/>
        </w:rPr>
        <w:t>Context:</w:t>
      </w:r>
    </w:p>
    <w:p>
      <w:pPr>
        <w:pStyle w:val="normal1"/>
        <w:spacing w:lineRule="auto" w:line="240" w:before="240" w:after="240"/>
        <w:rPr/>
      </w:pPr>
      <w:r>
        <w:rPr/>
        <w:t>The application needs a hosting region that provides acceptable response times, service availability, and compliance with applicable data requirements.</w:t>
      </w:r>
    </w:p>
    <w:p>
      <w:pPr>
        <w:pStyle w:val="normal1"/>
        <w:spacing w:lineRule="auto" w:line="240" w:before="240" w:after="240"/>
        <w:rPr>
          <w:b/>
          <w:bCs/>
        </w:rPr>
      </w:pPr>
      <w:r>
        <w:rPr>
          <w:b/>
          <w:bCs/>
        </w:rPr>
        <w:t>Decision:</w:t>
      </w:r>
    </w:p>
    <w:p>
      <w:pPr>
        <w:pStyle w:val="normal1"/>
        <w:spacing w:lineRule="auto" w:line="240" w:before="240" w:after="240"/>
        <w:rPr/>
      </w:pPr>
      <w:r>
        <w:rPr/>
        <w:t>Select a cloud region close to the primary users, subject to service availability, pricing, and data residency requirements.</w:t>
      </w:r>
    </w:p>
    <w:p>
      <w:pPr>
        <w:pStyle w:val="normal1"/>
        <w:spacing w:lineRule="auto" w:line="240" w:before="240" w:after="240"/>
        <w:rPr>
          <w:b/>
          <w:bCs/>
        </w:rPr>
      </w:pPr>
      <w:r>
        <w:rPr>
          <w:b/>
          <w:bCs/>
        </w:rPr>
        <w:t>Consequences:</w:t>
      </w:r>
    </w:p>
    <w:p>
      <w:pPr>
        <w:pStyle w:val="normal1"/>
        <w:numPr>
          <w:ilvl w:val="0"/>
          <w:numId w:val="3"/>
        </w:numPr>
        <w:spacing w:lineRule="auto" w:line="240" w:before="240" w:afterAutospacing="0" w:after="0"/>
        <w:ind w:hanging="360" w:start="720"/>
        <w:rPr/>
      </w:pPr>
      <w:r>
        <w:rPr/>
        <w:t>Reduces network latency for nearby users.</w:t>
      </w:r>
    </w:p>
    <w:p>
      <w:pPr>
        <w:pStyle w:val="normal1"/>
        <w:numPr>
          <w:ilvl w:val="0"/>
          <w:numId w:val="3"/>
        </w:numPr>
        <w:spacing w:lineRule="auto" w:line="240" w:beforeAutospacing="0" w:before="0" w:afterAutospacing="0" w:after="0"/>
        <w:ind w:hanging="360" w:start="720"/>
        <w:rPr/>
      </w:pPr>
      <w:r>
        <w:rPr/>
        <w:t>May improve application responsiveness.</w:t>
      </w:r>
    </w:p>
    <w:p>
      <w:pPr>
        <w:pStyle w:val="normal1"/>
        <w:numPr>
          <w:ilvl w:val="0"/>
          <w:numId w:val="3"/>
        </w:numPr>
        <w:spacing w:lineRule="auto" w:line="240" w:beforeAutospacing="0" w:before="0" w:afterAutospacing="0" w:after="0"/>
        <w:ind w:hanging="360" w:start="720"/>
        <w:rPr/>
      </w:pPr>
      <w:r>
        <w:rPr/>
        <w:t>Region availability and pricing must be checked.</w:t>
      </w:r>
    </w:p>
    <w:p>
      <w:pPr>
        <w:pStyle w:val="normal1"/>
        <w:numPr>
          <w:ilvl w:val="0"/>
          <w:numId w:val="3"/>
        </w:numPr>
        <w:spacing w:lineRule="auto" w:line="240" w:beforeAutospacing="0" w:before="0" w:after="240"/>
        <w:ind w:hanging="360" w:start="720"/>
        <w:rPr/>
      </w:pPr>
      <w:r>
        <w:rPr/>
        <w:t>Disaster recovery requirements may require a secondary region.</w:t>
      </w:r>
    </w:p>
    <w:p>
      <w:pPr>
        <w:pStyle w:val="normal1"/>
        <w:numPr>
          <w:ilvl w:val="0"/>
          <w:numId w:val="0"/>
        </w:numPr>
        <w:spacing w:lineRule="auto" w:line="240" w:beforeAutospacing="0" w:before="0" w:after="240"/>
        <w:ind w:hanging="0" w:start="720"/>
        <w:rPr/>
      </w:pPr>
      <w:r>
        <w:rPr/>
      </w:r>
    </w:p>
    <w:p>
      <w:pPr>
        <w:pStyle w:val="Heading2"/>
        <w:keepNext w:val="false"/>
        <w:keepLines w:val="false"/>
        <w:spacing w:lineRule="auto" w:line="240" w:before="360" w:after="80"/>
        <w:rPr>
          <w:b/>
          <w:bCs/>
          <w:sz w:val="34"/>
          <w:szCs w:val="34"/>
        </w:rPr>
      </w:pPr>
      <w:bookmarkStart w:id="3" w:name="_86ep0f711cbf"/>
      <w:bookmarkEnd w:id="3"/>
      <w:r>
        <w:rPr>
          <w:b/>
          <w:bCs/>
          <w:sz w:val="34"/>
          <w:szCs w:val="34"/>
        </w:rPr>
        <w:t>3. ADR-002: Define Recovery Objectives:</w:t>
      </w:r>
    </w:p>
    <w:p>
      <w:pPr>
        <w:pStyle w:val="normal1"/>
        <w:spacing w:lineRule="auto" w:line="240" w:before="240" w:after="240"/>
        <w:rPr/>
      </w:pPr>
      <w:r>
        <w:rPr>
          <w:b/>
          <w:bCs/>
        </w:rPr>
        <w:t>Status:</w:t>
      </w:r>
      <w:r>
        <w:rPr/>
        <w:t xml:space="preserve"> Proposed</w:t>
      </w:r>
    </w:p>
    <w:p>
      <w:pPr>
        <w:pStyle w:val="normal1"/>
        <w:spacing w:lineRule="auto" w:line="240" w:before="240" w:after="240"/>
        <w:rPr>
          <w:b/>
          <w:bCs/>
        </w:rPr>
      </w:pPr>
      <w:r>
        <w:rPr>
          <w:b/>
          <w:bCs/>
        </w:rPr>
        <w:t>Context:</w:t>
      </w:r>
    </w:p>
    <w:p>
      <w:pPr>
        <w:pStyle w:val="normal1"/>
        <w:spacing w:lineRule="auto" w:line="240" w:before="240" w:after="240"/>
        <w:rPr/>
      </w:pPr>
      <w:r>
        <w:rPr/>
        <w:t>Service interruptions and data loss can affect users and business operations. Recovery objectives must match the selected operating scenario.</w:t>
      </w:r>
    </w:p>
    <w:p>
      <w:pPr>
        <w:pStyle w:val="normal1"/>
        <w:spacing w:lineRule="auto" w:line="240" w:before="240" w:after="240"/>
        <w:rPr>
          <w:b/>
          <w:bCs/>
        </w:rPr>
      </w:pPr>
      <w:r>
        <w:rPr>
          <w:b/>
          <w:bCs/>
        </w:rPr>
        <w:t>Decision:</w:t>
      </w:r>
    </w:p>
    <w:p>
      <w:pPr>
        <w:pStyle w:val="normal1"/>
        <w:spacing w:lineRule="auto" w:line="240" w:before="240" w:after="240"/>
        <w:rPr/>
      </w:pPr>
      <w:r>
        <w:rPr/>
        <w:t>Use the following Recovery Time Objective (RTO) and Recovery Point Objective (RPO) targets from the planning worksheet.</w:t>
      </w:r>
    </w:p>
    <w:tbl>
      <w:tblPr>
        <w:tblStyle w:val="Table1"/>
        <w:tblW w:w="3720" w:type="dxa"/>
        <w:jc w:val="start"/>
        <w:tblInd w:w="0" w:type="dxa"/>
        <w:tblLayout w:type="fixed"/>
        <w:tblCellMar>
          <w:top w:w="100" w:type="dxa"/>
          <w:start w:w="100" w:type="dxa"/>
          <w:bottom w:w="100" w:type="dxa"/>
          <w:end w:w="100" w:type="dxa"/>
        </w:tblCellMar>
        <w:tblLook w:val="0600"/>
      </w:tblPr>
      <w:tblGrid>
        <w:gridCol w:w="1130"/>
        <w:gridCol w:w="1295"/>
        <w:gridCol w:w="1295"/>
      </w:tblGrid>
      <w:tr>
        <w:trPr>
          <w:trHeight w:val="500" w:hRule="atLeast"/>
        </w:trPr>
        <w:tc>
          <w:tcPr>
            <w:tcW w:w="1130" w:type="dxa"/>
            <w:tcBorders/>
          </w:tcPr>
          <w:p>
            <w:pPr>
              <w:pStyle w:val="normal1"/>
              <w:jc w:val="center"/>
              <w:rPr/>
            </w:pPr>
            <w:r>
              <w:rPr>
                <w:b/>
                <w:bCs/>
              </w:rPr>
              <w:t>Scenario</w:t>
            </w:r>
          </w:p>
        </w:tc>
        <w:tc>
          <w:tcPr>
            <w:tcW w:w="1295" w:type="dxa"/>
            <w:tcBorders/>
          </w:tcPr>
          <w:p>
            <w:pPr>
              <w:pStyle w:val="normal1"/>
              <w:jc w:val="center"/>
              <w:rPr/>
            </w:pPr>
            <w:r>
              <w:rPr>
                <w:b/>
                <w:bCs/>
              </w:rPr>
              <w:t>RTO</w:t>
            </w:r>
          </w:p>
        </w:tc>
        <w:tc>
          <w:tcPr>
            <w:tcW w:w="1295" w:type="dxa"/>
            <w:tcBorders/>
          </w:tcPr>
          <w:p>
            <w:pPr>
              <w:pStyle w:val="normal1"/>
              <w:jc w:val="center"/>
              <w:rPr/>
            </w:pPr>
            <w:r>
              <w:rPr>
                <w:b/>
                <w:bCs/>
              </w:rPr>
              <w:t>RPO</w:t>
            </w:r>
          </w:p>
        </w:tc>
      </w:tr>
      <w:tr>
        <w:trPr>
          <w:trHeight w:val="500" w:hRule="atLeast"/>
        </w:trPr>
        <w:tc>
          <w:tcPr>
            <w:tcW w:w="1130" w:type="dxa"/>
            <w:tcBorders/>
          </w:tcPr>
          <w:p>
            <w:pPr>
              <w:pStyle w:val="normal1"/>
              <w:rPr/>
            </w:pPr>
            <w:r>
              <w:rPr/>
              <w:t>Lean</w:t>
            </w:r>
          </w:p>
        </w:tc>
        <w:tc>
          <w:tcPr>
            <w:tcW w:w="1295" w:type="dxa"/>
            <w:tcBorders/>
          </w:tcPr>
          <w:p>
            <w:pPr>
              <w:pStyle w:val="normal1"/>
              <w:rPr/>
            </w:pPr>
            <w:r>
              <w:rPr/>
              <w:t>4 hours</w:t>
            </w:r>
          </w:p>
        </w:tc>
        <w:tc>
          <w:tcPr>
            <w:tcW w:w="1295" w:type="dxa"/>
            <w:tcBorders/>
          </w:tcPr>
          <w:p>
            <w:pPr>
              <w:pStyle w:val="normal1"/>
              <w:rPr/>
            </w:pPr>
            <w:r>
              <w:rPr/>
              <w:t>24 hours</w:t>
            </w:r>
          </w:p>
        </w:tc>
      </w:tr>
      <w:tr>
        <w:trPr>
          <w:trHeight w:val="500" w:hRule="atLeast"/>
        </w:trPr>
        <w:tc>
          <w:tcPr>
            <w:tcW w:w="1130" w:type="dxa"/>
            <w:tcBorders/>
          </w:tcPr>
          <w:p>
            <w:pPr>
              <w:pStyle w:val="normal1"/>
              <w:rPr/>
            </w:pPr>
            <w:r>
              <w:rPr/>
              <w:t>Balanced</w:t>
            </w:r>
          </w:p>
        </w:tc>
        <w:tc>
          <w:tcPr>
            <w:tcW w:w="1295" w:type="dxa"/>
            <w:tcBorders/>
          </w:tcPr>
          <w:p>
            <w:pPr>
              <w:pStyle w:val="normal1"/>
              <w:rPr/>
            </w:pPr>
            <w:r>
              <w:rPr/>
              <w:t>1 hour</w:t>
            </w:r>
          </w:p>
        </w:tc>
        <w:tc>
          <w:tcPr>
            <w:tcW w:w="1295" w:type="dxa"/>
            <w:tcBorders/>
          </w:tcPr>
          <w:p>
            <w:pPr>
              <w:pStyle w:val="normal1"/>
              <w:rPr/>
            </w:pPr>
            <w:r>
              <w:rPr/>
              <w:t>1 hour</w:t>
            </w:r>
          </w:p>
        </w:tc>
      </w:tr>
      <w:tr>
        <w:trPr>
          <w:trHeight w:val="500" w:hRule="atLeast"/>
        </w:trPr>
        <w:tc>
          <w:tcPr>
            <w:tcW w:w="1130" w:type="dxa"/>
            <w:tcBorders/>
          </w:tcPr>
          <w:p>
            <w:pPr>
              <w:pStyle w:val="normal1"/>
              <w:rPr/>
            </w:pPr>
            <w:r>
              <w:rPr/>
              <w:t>Resilient</w:t>
            </w:r>
          </w:p>
        </w:tc>
        <w:tc>
          <w:tcPr>
            <w:tcW w:w="1295" w:type="dxa"/>
            <w:tcBorders/>
          </w:tcPr>
          <w:p>
            <w:pPr>
              <w:pStyle w:val="normal1"/>
              <w:rPr/>
            </w:pPr>
            <w:r>
              <w:rPr/>
              <w:t>30 minutes</w:t>
            </w:r>
          </w:p>
        </w:tc>
        <w:tc>
          <w:tcPr>
            <w:tcW w:w="1295" w:type="dxa"/>
            <w:tcBorders/>
          </w:tcPr>
          <w:p>
            <w:pPr>
              <w:pStyle w:val="normal1"/>
              <w:rPr/>
            </w:pPr>
            <w:r>
              <w:rPr/>
              <w:t>15 minutes</w:t>
            </w:r>
          </w:p>
        </w:tc>
      </w:tr>
    </w:tbl>
    <w:p>
      <w:pPr>
        <w:pStyle w:val="normal1"/>
        <w:spacing w:lineRule="auto" w:line="240" w:before="240" w:after="240"/>
        <w:rPr>
          <w:b/>
          <w:bCs/>
        </w:rPr>
      </w:pPr>
      <w:r>
        <w:rPr>
          <w:b/>
          <w:bCs/>
        </w:rPr>
        <w:t>Consequences:</w:t>
      </w:r>
    </w:p>
    <w:p>
      <w:pPr>
        <w:pStyle w:val="normal1"/>
        <w:numPr>
          <w:ilvl w:val="0"/>
          <w:numId w:val="5"/>
        </w:numPr>
        <w:spacing w:lineRule="auto" w:line="240" w:before="240" w:afterAutospacing="0" w:after="0"/>
        <w:ind w:hanging="360" w:start="720"/>
        <w:rPr/>
      </w:pPr>
      <w:r>
        <w:rPr/>
        <w:t>Lean requires a less demanding recovery capability.</w:t>
      </w:r>
    </w:p>
    <w:p>
      <w:pPr>
        <w:pStyle w:val="normal1"/>
        <w:numPr>
          <w:ilvl w:val="0"/>
          <w:numId w:val="5"/>
        </w:numPr>
        <w:spacing w:lineRule="auto" w:line="240" w:beforeAutospacing="0" w:before="0" w:afterAutospacing="0" w:after="0"/>
        <w:ind w:hanging="360" w:start="720"/>
        <w:rPr/>
      </w:pPr>
      <w:r>
        <w:rPr/>
        <w:t>Balanced requires more frequent backups and faster restoration.</w:t>
      </w:r>
    </w:p>
    <w:p>
      <w:pPr>
        <w:pStyle w:val="normal1"/>
        <w:numPr>
          <w:ilvl w:val="0"/>
          <w:numId w:val="5"/>
        </w:numPr>
        <w:spacing w:lineRule="auto" w:line="240" w:beforeAutospacing="0" w:before="0" w:afterAutospacing="0" w:after="0"/>
        <w:ind w:hanging="360" w:start="720"/>
        <w:rPr/>
      </w:pPr>
      <w:r>
        <w:rPr/>
        <w:t>Resilient requires stronger recovery arrangements and more frequent data protection.</w:t>
      </w:r>
    </w:p>
    <w:p>
      <w:pPr>
        <w:pStyle w:val="normal1"/>
        <w:numPr>
          <w:ilvl w:val="0"/>
          <w:numId w:val="5"/>
        </w:numPr>
        <w:spacing w:lineRule="auto" w:line="240" w:beforeAutospacing="0" w:before="0" w:after="240"/>
        <w:ind w:hanging="360" w:start="720"/>
        <w:rPr/>
      </w:pPr>
      <w:r>
        <w:rPr/>
        <w:t>Recovery tests are needed to verify whether the targets can be achieved.</w:t>
      </w:r>
    </w:p>
    <w:p>
      <w:pPr>
        <w:pStyle w:val="normal1"/>
        <w:spacing w:lineRule="auto" w:line="240" w:before="240" w:after="240"/>
        <w:rPr/>
      </w:pPr>
      <w:r>
        <w:rPr/>
        <w:t>RTO defines the target time to restore service. RPO defines the maximum targeted data-loss window.</w:t>
      </w:r>
    </w:p>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4" w:name="_nzdmufngc0j"/>
      <w:bookmarkEnd w:id="4"/>
      <w:r>
        <w:rPr>
          <w:b/>
          <w:bCs/>
          <w:sz w:val="34"/>
          <w:szCs w:val="34"/>
        </w:rPr>
        <w:t>4. ADR-003: Use Managed Secrets Storage:</w:t>
      </w:r>
    </w:p>
    <w:p>
      <w:pPr>
        <w:pStyle w:val="normal1"/>
        <w:spacing w:lineRule="auto" w:line="240" w:before="240" w:after="240"/>
        <w:rPr/>
      </w:pPr>
      <w:r>
        <w:rPr>
          <w:b/>
          <w:bCs/>
        </w:rPr>
        <w:t>Status:</w:t>
      </w:r>
      <w:r>
        <w:rPr/>
        <w:t xml:space="preserve"> Proposed</w:t>
      </w:r>
    </w:p>
    <w:p>
      <w:pPr>
        <w:pStyle w:val="normal1"/>
        <w:spacing w:lineRule="auto" w:line="240" w:before="240" w:after="240"/>
        <w:rPr>
          <w:b/>
          <w:bCs/>
        </w:rPr>
      </w:pPr>
      <w:r>
        <w:rPr>
          <w:b/>
          <w:bCs/>
        </w:rPr>
        <w:t>Context:</w:t>
      </w:r>
    </w:p>
    <w:p>
      <w:pPr>
        <w:pStyle w:val="normal1"/>
        <w:spacing w:lineRule="auto" w:line="240" w:before="240" w:after="240"/>
        <w:rPr/>
      </w:pPr>
      <w:r>
        <w:rPr/>
        <w:t>Applications may require database credentials, API keys, and other sensitive configuration values. Hardcoding secrets in source code creates security risks.</w:t>
      </w:r>
    </w:p>
    <w:p>
      <w:pPr>
        <w:pStyle w:val="normal1"/>
        <w:spacing w:lineRule="auto" w:line="240" w:before="240" w:after="240"/>
        <w:rPr>
          <w:b/>
          <w:bCs/>
        </w:rPr>
      </w:pPr>
      <w:r>
        <w:rPr>
          <w:b/>
          <w:bCs/>
        </w:rPr>
        <w:t>Decision:</w:t>
      </w:r>
    </w:p>
    <w:p>
      <w:pPr>
        <w:pStyle w:val="normal1"/>
        <w:spacing w:lineRule="auto" w:line="240" w:before="240" w:after="240"/>
        <w:rPr/>
      </w:pPr>
      <w:r>
        <w:rPr/>
        <w:t>Use an appropriate managed secrets service when supported by the selected hosting platform. For environments without such a service, use secure configuration and access controls.</w:t>
      </w:r>
    </w:p>
    <w:p>
      <w:pPr>
        <w:pStyle w:val="normal1"/>
        <w:spacing w:lineRule="auto" w:line="240" w:before="240" w:after="240"/>
        <w:rPr>
          <w:b/>
          <w:bCs/>
        </w:rPr>
      </w:pPr>
      <w:r>
        <w:rPr>
          <w:b/>
          <w:bCs/>
        </w:rPr>
        <w:t>Consequences:</w:t>
      </w:r>
    </w:p>
    <w:p>
      <w:pPr>
        <w:pStyle w:val="normal1"/>
        <w:numPr>
          <w:ilvl w:val="0"/>
          <w:numId w:val="1"/>
        </w:numPr>
        <w:spacing w:lineRule="auto" w:line="240" w:before="240" w:afterAutospacing="0" w:after="0"/>
        <w:ind w:hanging="360" w:start="720"/>
        <w:rPr/>
      </w:pPr>
      <w:r>
        <w:rPr/>
        <w:t>Reduces exposure of credentials in source code.</w:t>
      </w:r>
    </w:p>
    <w:p>
      <w:pPr>
        <w:pStyle w:val="normal1"/>
        <w:numPr>
          <w:ilvl w:val="0"/>
          <w:numId w:val="1"/>
        </w:numPr>
        <w:spacing w:lineRule="auto" w:line="240" w:beforeAutospacing="0" w:before="0" w:afterAutospacing="0" w:after="0"/>
        <w:ind w:hanging="360" w:start="720"/>
        <w:rPr/>
      </w:pPr>
      <w:r>
        <w:rPr/>
        <w:t>Supports controlled access and secret rotation.</w:t>
      </w:r>
    </w:p>
    <w:p>
      <w:pPr>
        <w:pStyle w:val="normal1"/>
        <w:numPr>
          <w:ilvl w:val="0"/>
          <w:numId w:val="1"/>
        </w:numPr>
        <w:spacing w:lineRule="auto" w:line="240" w:beforeAutospacing="0" w:before="0" w:afterAutospacing="0" w:after="0"/>
        <w:ind w:hanging="360" w:start="720"/>
        <w:rPr/>
      </w:pPr>
      <w:r>
        <w:rPr/>
        <w:t>May add operational cost and configuration complexity.</w:t>
      </w:r>
    </w:p>
    <w:p>
      <w:pPr>
        <w:pStyle w:val="normal1"/>
        <w:numPr>
          <w:ilvl w:val="0"/>
          <w:numId w:val="1"/>
        </w:numPr>
        <w:spacing w:lineRule="auto" w:line="240" w:beforeAutospacing="0" w:before="0" w:after="240"/>
        <w:ind w:hanging="360" w:start="720"/>
        <w:rPr/>
      </w:pPr>
      <w:r>
        <w:rPr/>
        <w:t>Requires appropriate permissions and secure deployment practices.</w:t>
      </w:r>
    </w:p>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5" w:name="_lgx51c5nh6s3"/>
      <w:bookmarkEnd w:id="5"/>
      <w:r>
        <w:rPr>
          <w:b/>
          <w:bCs/>
          <w:sz w:val="34"/>
          <w:szCs w:val="34"/>
        </w:rPr>
        <w:t>5. ADR-004: Apply Least-Privilege Access:</w:t>
      </w:r>
    </w:p>
    <w:p>
      <w:pPr>
        <w:pStyle w:val="normal1"/>
        <w:spacing w:lineRule="auto" w:line="240" w:before="240" w:after="240"/>
        <w:rPr/>
      </w:pPr>
      <w:r>
        <w:rPr>
          <w:b/>
          <w:bCs/>
        </w:rPr>
        <w:t>Status:</w:t>
      </w:r>
      <w:r>
        <w:rPr/>
        <w:t xml:space="preserve"> Proposed</w:t>
      </w:r>
    </w:p>
    <w:p>
      <w:pPr>
        <w:pStyle w:val="normal1"/>
        <w:spacing w:lineRule="auto" w:line="240" w:before="240" w:after="240"/>
        <w:rPr>
          <w:b/>
          <w:bCs/>
        </w:rPr>
      </w:pPr>
      <w:r>
        <w:rPr>
          <w:b/>
          <w:bCs/>
        </w:rPr>
        <w:t>Context:</w:t>
      </w:r>
    </w:p>
    <w:p>
      <w:pPr>
        <w:pStyle w:val="normal1"/>
        <w:spacing w:lineRule="auto" w:line="240" w:before="240" w:after="240"/>
        <w:rPr/>
      </w:pPr>
      <w:r>
        <w:rPr/>
        <w:t>Excessive permissions can increase the impact of compromised accounts or application vulnerabilities.</w:t>
      </w:r>
    </w:p>
    <w:p>
      <w:pPr>
        <w:pStyle w:val="normal1"/>
        <w:spacing w:lineRule="auto" w:line="240" w:before="240" w:after="240"/>
        <w:rPr>
          <w:b/>
          <w:bCs/>
        </w:rPr>
      </w:pPr>
      <w:r>
        <w:rPr>
          <w:b/>
          <w:bCs/>
        </w:rPr>
        <w:t>Decision:</w:t>
      </w:r>
    </w:p>
    <w:p>
      <w:pPr>
        <w:pStyle w:val="normal1"/>
        <w:spacing w:lineRule="auto" w:line="240" w:before="240" w:after="240"/>
        <w:rPr/>
      </w:pPr>
      <w:r>
        <w:rPr/>
        <w:t>Grant users, services, and administrators only the permissions required to perform their assigned tasks.</w:t>
      </w:r>
    </w:p>
    <w:p>
      <w:pPr>
        <w:pStyle w:val="normal1"/>
        <w:spacing w:lineRule="auto" w:line="240" w:before="240" w:after="240"/>
        <w:rPr>
          <w:b/>
          <w:bCs/>
        </w:rPr>
      </w:pPr>
      <w:r>
        <w:rPr>
          <w:b/>
          <w:bCs/>
        </w:rPr>
        <w:t>Consequences:</w:t>
      </w:r>
    </w:p>
    <w:p>
      <w:pPr>
        <w:pStyle w:val="normal1"/>
        <w:numPr>
          <w:ilvl w:val="0"/>
          <w:numId w:val="6"/>
        </w:numPr>
        <w:spacing w:lineRule="auto" w:line="240" w:before="240" w:afterAutospacing="0" w:after="0"/>
        <w:ind w:hanging="360" w:start="720"/>
        <w:rPr/>
      </w:pPr>
      <w:r>
        <w:rPr/>
        <w:t>Reduces unnecessary access to application resources.</w:t>
      </w:r>
    </w:p>
    <w:p>
      <w:pPr>
        <w:pStyle w:val="normal1"/>
        <w:numPr>
          <w:ilvl w:val="0"/>
          <w:numId w:val="6"/>
        </w:numPr>
        <w:spacing w:lineRule="auto" w:line="240" w:beforeAutospacing="0" w:before="0" w:afterAutospacing="0" w:after="0"/>
        <w:ind w:hanging="360" w:start="720"/>
        <w:rPr/>
      </w:pPr>
      <w:r>
        <w:rPr/>
        <w:t>Limits the potential impact of compromised credentials.</w:t>
      </w:r>
    </w:p>
    <w:p>
      <w:pPr>
        <w:pStyle w:val="normal1"/>
        <w:numPr>
          <w:ilvl w:val="0"/>
          <w:numId w:val="6"/>
        </w:numPr>
        <w:spacing w:lineRule="auto" w:line="240" w:beforeAutospacing="0" w:before="0" w:afterAutospacing="0" w:after="0"/>
        <w:ind w:hanging="360" w:start="720"/>
        <w:rPr/>
      </w:pPr>
      <w:r>
        <w:rPr/>
        <w:t>Requires regular permission reviews.</w:t>
      </w:r>
    </w:p>
    <w:p>
      <w:pPr>
        <w:pStyle w:val="normal1"/>
        <w:numPr>
          <w:ilvl w:val="0"/>
          <w:numId w:val="6"/>
        </w:numPr>
        <w:spacing w:lineRule="auto" w:line="240" w:beforeAutospacing="0" w:before="0" w:after="240"/>
        <w:ind w:hanging="360" w:start="720"/>
        <w:rPr/>
      </w:pPr>
      <w:r>
        <w:rPr/>
        <w:t>May require additional setup and testing.</w:t>
      </w:r>
    </w:p>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6" w:name="_5lod3zuo2u5p"/>
      <w:bookmarkEnd w:id="6"/>
      <w:r>
        <w:rPr>
          <w:b/>
          <w:bCs/>
          <w:sz w:val="34"/>
          <w:szCs w:val="34"/>
        </w:rPr>
        <w:t>6. ADR-005: Protect Backups and Test Recovery:</w:t>
      </w:r>
    </w:p>
    <w:p>
      <w:pPr>
        <w:pStyle w:val="normal1"/>
        <w:spacing w:lineRule="auto" w:line="240" w:before="240" w:after="240"/>
        <w:rPr/>
      </w:pPr>
      <w:r>
        <w:rPr>
          <w:b/>
          <w:bCs/>
        </w:rPr>
        <w:t>Status:</w:t>
      </w:r>
      <w:r>
        <w:rPr/>
        <w:t xml:space="preserve"> Proposed</w:t>
      </w:r>
    </w:p>
    <w:p>
      <w:pPr>
        <w:pStyle w:val="normal1"/>
        <w:spacing w:lineRule="auto" w:line="240" w:before="240" w:after="240"/>
        <w:rPr>
          <w:b/>
          <w:bCs/>
        </w:rPr>
      </w:pPr>
      <w:r>
        <w:rPr>
          <w:b/>
          <w:bCs/>
        </w:rPr>
        <w:t>Context:</w:t>
      </w:r>
    </w:p>
    <w:p>
      <w:pPr>
        <w:pStyle w:val="normal1"/>
        <w:spacing w:lineRule="auto" w:line="240" w:before="240" w:after="240"/>
        <w:rPr/>
      </w:pPr>
      <w:r>
        <w:rPr/>
        <w:t>Backups are important for recovering from accidental deletion, corruption, infrastructure failures, and security incidents. A backup is useful only if the data can be restored successfully.</w:t>
      </w:r>
    </w:p>
    <w:p>
      <w:pPr>
        <w:pStyle w:val="normal1"/>
        <w:spacing w:lineRule="auto" w:line="240" w:before="240" w:after="240"/>
        <w:rPr>
          <w:b/>
          <w:bCs/>
        </w:rPr>
      </w:pPr>
      <w:r>
        <w:rPr>
          <w:b/>
          <w:bCs/>
        </w:rPr>
        <w:t>Decision:</w:t>
      </w:r>
    </w:p>
    <w:p>
      <w:pPr>
        <w:pStyle w:val="normal1"/>
        <w:spacing w:lineRule="auto" w:line="240" w:before="240" w:after="240"/>
        <w:rPr/>
      </w:pPr>
      <w:r>
        <w:rPr/>
        <w:t>Encrypt backups, restrict access, define retention periods, and test restoration procedures regularly. Configure backup frequency according to the selected scenario's RPO.</w:t>
      </w:r>
    </w:p>
    <w:p>
      <w:pPr>
        <w:pStyle w:val="normal1"/>
        <w:spacing w:lineRule="auto" w:line="240" w:before="240" w:after="240"/>
        <w:rPr>
          <w:b/>
          <w:bCs/>
        </w:rPr>
      </w:pPr>
      <w:r>
        <w:rPr>
          <w:b/>
          <w:bCs/>
        </w:rPr>
        <w:t>Consequences:</w:t>
      </w:r>
    </w:p>
    <w:p>
      <w:pPr>
        <w:pStyle w:val="normal1"/>
        <w:numPr>
          <w:ilvl w:val="0"/>
          <w:numId w:val="2"/>
        </w:numPr>
        <w:spacing w:lineRule="auto" w:line="240" w:before="240" w:afterAutospacing="0" w:after="0"/>
        <w:ind w:hanging="360" w:start="720"/>
        <w:rPr/>
      </w:pPr>
      <w:r>
        <w:rPr/>
        <w:t>Improves protection against data loss.</w:t>
      </w:r>
    </w:p>
    <w:p>
      <w:pPr>
        <w:pStyle w:val="normal1"/>
        <w:numPr>
          <w:ilvl w:val="0"/>
          <w:numId w:val="2"/>
        </w:numPr>
        <w:spacing w:lineRule="auto" w:line="240" w:beforeAutospacing="0" w:before="0" w:afterAutospacing="0" w:after="0"/>
        <w:ind w:hanging="360" w:start="720"/>
        <w:rPr/>
      </w:pPr>
      <w:r>
        <w:rPr/>
        <w:t>Supports disaster recovery.</w:t>
      </w:r>
    </w:p>
    <w:p>
      <w:pPr>
        <w:pStyle w:val="normal1"/>
        <w:numPr>
          <w:ilvl w:val="0"/>
          <w:numId w:val="2"/>
        </w:numPr>
        <w:spacing w:lineRule="auto" w:line="240" w:beforeAutospacing="0" w:before="0" w:afterAutospacing="0" w:after="0"/>
        <w:ind w:hanging="360" w:start="720"/>
        <w:rPr/>
      </w:pPr>
      <w:r>
        <w:rPr/>
        <w:t>Requires storage capacity and operational monitoring.</w:t>
      </w:r>
    </w:p>
    <w:p>
      <w:pPr>
        <w:pStyle w:val="normal1"/>
        <w:numPr>
          <w:ilvl w:val="0"/>
          <w:numId w:val="2"/>
        </w:numPr>
        <w:spacing w:lineRule="auto" w:line="240" w:beforeAutospacing="0" w:before="0" w:after="240"/>
        <w:ind w:hanging="360" w:start="720"/>
        <w:rPr/>
      </w:pPr>
      <w:r>
        <w:rPr/>
        <w:t>Recovery tests help identify problems before an actual incident.</w:t>
      </w:r>
    </w:p>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7" w:name="_lrfb63nkewdu"/>
      <w:bookmarkEnd w:id="7"/>
      <w:r>
        <w:rPr>
          <w:b/>
          <w:bCs/>
          <w:sz w:val="34"/>
          <w:szCs w:val="34"/>
        </w:rPr>
        <w:t>7. ADR-006: Monitor Service Reliability:</w:t>
      </w:r>
    </w:p>
    <w:p>
      <w:pPr>
        <w:pStyle w:val="normal1"/>
        <w:spacing w:lineRule="auto" w:line="240" w:before="240" w:after="240"/>
        <w:rPr/>
      </w:pPr>
      <w:r>
        <w:rPr>
          <w:b/>
          <w:bCs/>
        </w:rPr>
        <w:t>Status:</w:t>
      </w:r>
      <w:r>
        <w:rPr/>
        <w:t xml:space="preserve"> Proposed</w:t>
      </w:r>
    </w:p>
    <w:p>
      <w:pPr>
        <w:pStyle w:val="normal1"/>
        <w:spacing w:lineRule="auto" w:line="240" w:before="240" w:after="240"/>
        <w:rPr>
          <w:b/>
          <w:bCs/>
        </w:rPr>
      </w:pPr>
      <w:r>
        <w:rPr>
          <w:b/>
          <w:bCs/>
        </w:rPr>
        <w:t>Context:</w:t>
      </w:r>
    </w:p>
    <w:p>
      <w:pPr>
        <w:pStyle w:val="normal1"/>
        <w:spacing w:lineRule="auto" w:line="240" w:before="240" w:after="240"/>
        <w:rPr/>
      </w:pPr>
      <w:r>
        <w:rPr/>
        <w:t>The service needs continuous visibility into availability, response time, errors, and resource usage.</w:t>
      </w:r>
    </w:p>
    <w:p>
      <w:pPr>
        <w:pStyle w:val="normal1"/>
        <w:spacing w:lineRule="auto" w:line="240" w:before="240" w:after="240"/>
        <w:rPr>
          <w:b/>
          <w:bCs/>
        </w:rPr>
      </w:pPr>
      <w:r>
        <w:rPr>
          <w:b/>
          <w:bCs/>
        </w:rPr>
        <w:t>Decision:</w:t>
      </w:r>
    </w:p>
    <w:p>
      <w:pPr>
        <w:pStyle w:val="normal1"/>
        <w:spacing w:lineRule="auto" w:line="240" w:before="240" w:after="240"/>
        <w:rPr/>
      </w:pPr>
      <w:r>
        <w:rPr/>
        <w:t>Monitor availability, p95 latency, error rates, application health, and database health. Configure alerts according to the selected scenario's SLO targets.</w:t>
      </w:r>
    </w:p>
    <w:tbl>
      <w:tblPr>
        <w:tblStyle w:val="Table2"/>
        <w:tblW w:w="5475" w:type="dxa"/>
        <w:jc w:val="start"/>
        <w:tblInd w:w="0" w:type="dxa"/>
        <w:tblLayout w:type="fixed"/>
        <w:tblCellMar>
          <w:top w:w="100" w:type="dxa"/>
          <w:start w:w="100" w:type="dxa"/>
          <w:bottom w:w="100" w:type="dxa"/>
          <w:end w:w="100" w:type="dxa"/>
        </w:tblCellMar>
        <w:tblLook w:val="0600"/>
      </w:tblPr>
      <w:tblGrid>
        <w:gridCol w:w="1130"/>
        <w:gridCol w:w="2134"/>
        <w:gridCol w:w="2211"/>
      </w:tblGrid>
      <w:tr>
        <w:trPr>
          <w:trHeight w:val="500" w:hRule="atLeast"/>
        </w:trPr>
        <w:tc>
          <w:tcPr>
            <w:tcW w:w="1130" w:type="dxa"/>
            <w:tcBorders/>
          </w:tcPr>
          <w:p>
            <w:pPr>
              <w:pStyle w:val="normal1"/>
              <w:jc w:val="center"/>
              <w:rPr/>
            </w:pPr>
            <w:r>
              <w:rPr>
                <w:b/>
                <w:bCs/>
              </w:rPr>
              <w:t>Scenario</w:t>
            </w:r>
          </w:p>
        </w:tc>
        <w:tc>
          <w:tcPr>
            <w:tcW w:w="2134" w:type="dxa"/>
            <w:tcBorders/>
          </w:tcPr>
          <w:p>
            <w:pPr>
              <w:pStyle w:val="normal1"/>
              <w:jc w:val="end"/>
              <w:rPr/>
            </w:pPr>
            <w:r>
              <w:rPr>
                <w:b/>
                <w:bCs/>
              </w:rPr>
              <w:t>Availability Target</w:t>
            </w:r>
          </w:p>
        </w:tc>
        <w:tc>
          <w:tcPr>
            <w:tcW w:w="2211" w:type="dxa"/>
            <w:tcBorders/>
          </w:tcPr>
          <w:p>
            <w:pPr>
              <w:pStyle w:val="normal1"/>
              <w:jc w:val="end"/>
              <w:rPr/>
            </w:pPr>
            <w:r>
              <w:rPr>
                <w:b/>
                <w:bCs/>
              </w:rPr>
              <w:t>p95 Latency Target</w:t>
            </w:r>
          </w:p>
        </w:tc>
      </w:tr>
      <w:tr>
        <w:trPr>
          <w:trHeight w:val="500" w:hRule="atLeast"/>
        </w:trPr>
        <w:tc>
          <w:tcPr>
            <w:tcW w:w="1130" w:type="dxa"/>
            <w:tcBorders/>
          </w:tcPr>
          <w:p>
            <w:pPr>
              <w:pStyle w:val="normal1"/>
              <w:rPr/>
            </w:pPr>
            <w:r>
              <w:rPr/>
              <w:t>Lean</w:t>
            </w:r>
          </w:p>
        </w:tc>
        <w:tc>
          <w:tcPr>
            <w:tcW w:w="2134" w:type="dxa"/>
            <w:tcBorders/>
          </w:tcPr>
          <w:p>
            <w:pPr>
              <w:pStyle w:val="normal1"/>
              <w:jc w:val="end"/>
              <w:rPr/>
            </w:pPr>
            <w:r>
              <w:rPr/>
              <w:t>99%</w:t>
            </w:r>
          </w:p>
        </w:tc>
        <w:tc>
          <w:tcPr>
            <w:tcW w:w="2211" w:type="dxa"/>
            <w:tcBorders/>
          </w:tcPr>
          <w:p>
            <w:pPr>
              <w:pStyle w:val="normal1"/>
              <w:jc w:val="end"/>
              <w:rPr/>
            </w:pPr>
            <w:r>
              <w:rPr/>
              <w:t>800 ms</w:t>
            </w:r>
          </w:p>
        </w:tc>
      </w:tr>
      <w:tr>
        <w:trPr>
          <w:trHeight w:val="500" w:hRule="atLeast"/>
        </w:trPr>
        <w:tc>
          <w:tcPr>
            <w:tcW w:w="1130" w:type="dxa"/>
            <w:tcBorders/>
          </w:tcPr>
          <w:p>
            <w:pPr>
              <w:pStyle w:val="normal1"/>
              <w:rPr/>
            </w:pPr>
            <w:r>
              <w:rPr/>
              <w:t>Balanced</w:t>
            </w:r>
          </w:p>
        </w:tc>
        <w:tc>
          <w:tcPr>
            <w:tcW w:w="2134" w:type="dxa"/>
            <w:tcBorders/>
          </w:tcPr>
          <w:p>
            <w:pPr>
              <w:pStyle w:val="normal1"/>
              <w:jc w:val="end"/>
              <w:rPr/>
            </w:pPr>
            <w:r>
              <w:rPr/>
              <w:t>99.5%</w:t>
            </w:r>
          </w:p>
        </w:tc>
        <w:tc>
          <w:tcPr>
            <w:tcW w:w="2211" w:type="dxa"/>
            <w:tcBorders/>
          </w:tcPr>
          <w:p>
            <w:pPr>
              <w:pStyle w:val="normal1"/>
              <w:jc w:val="end"/>
              <w:rPr/>
            </w:pPr>
            <w:r>
              <w:rPr/>
              <w:t>500 ms</w:t>
            </w:r>
          </w:p>
        </w:tc>
      </w:tr>
      <w:tr>
        <w:trPr>
          <w:trHeight w:val="500" w:hRule="atLeast"/>
        </w:trPr>
        <w:tc>
          <w:tcPr>
            <w:tcW w:w="1130" w:type="dxa"/>
            <w:tcBorders/>
          </w:tcPr>
          <w:p>
            <w:pPr>
              <w:pStyle w:val="normal1"/>
              <w:rPr/>
            </w:pPr>
            <w:r>
              <w:rPr/>
              <w:t>Resilient</w:t>
            </w:r>
          </w:p>
        </w:tc>
        <w:tc>
          <w:tcPr>
            <w:tcW w:w="2134" w:type="dxa"/>
            <w:tcBorders/>
          </w:tcPr>
          <w:p>
            <w:pPr>
              <w:pStyle w:val="normal1"/>
              <w:jc w:val="end"/>
              <w:rPr/>
            </w:pPr>
            <w:r>
              <w:rPr/>
              <w:t>99.9%</w:t>
            </w:r>
          </w:p>
        </w:tc>
        <w:tc>
          <w:tcPr>
            <w:tcW w:w="2211" w:type="dxa"/>
            <w:tcBorders/>
          </w:tcPr>
          <w:p>
            <w:pPr>
              <w:pStyle w:val="normal1"/>
              <w:jc w:val="end"/>
              <w:rPr/>
            </w:pPr>
            <w:r>
              <w:rPr/>
              <w:t>300 ms</w:t>
            </w:r>
          </w:p>
        </w:tc>
      </w:tr>
    </w:tbl>
    <w:p>
      <w:pPr>
        <w:pStyle w:val="normal1"/>
        <w:spacing w:lineRule="auto" w:line="240" w:before="240" w:after="240"/>
        <w:rPr>
          <w:b/>
          <w:bCs/>
        </w:rPr>
      </w:pPr>
      <w:r>
        <w:rPr>
          <w:b/>
          <w:bCs/>
        </w:rPr>
        <w:t>Consequences:</w:t>
      </w:r>
    </w:p>
    <w:p>
      <w:pPr>
        <w:pStyle w:val="normal1"/>
        <w:numPr>
          <w:ilvl w:val="0"/>
          <w:numId w:val="4"/>
        </w:numPr>
        <w:spacing w:lineRule="auto" w:line="240" w:before="240" w:afterAutospacing="0" w:after="0"/>
        <w:ind w:hanging="360" w:start="720"/>
        <w:rPr/>
      </w:pPr>
      <w:r>
        <w:rPr/>
        <w:t>Helps identify service degradation early.</w:t>
      </w:r>
    </w:p>
    <w:p>
      <w:pPr>
        <w:pStyle w:val="normal1"/>
        <w:numPr>
          <w:ilvl w:val="0"/>
          <w:numId w:val="4"/>
        </w:numPr>
        <w:spacing w:lineRule="auto" w:line="240" w:beforeAutospacing="0" w:before="0" w:afterAutospacing="0" w:after="0"/>
        <w:ind w:hanging="360" w:start="720"/>
        <w:rPr/>
      </w:pPr>
      <w:r>
        <w:rPr/>
        <w:t>Supports incident investigation and performance improvements.</w:t>
      </w:r>
    </w:p>
    <w:p>
      <w:pPr>
        <w:pStyle w:val="normal1"/>
        <w:numPr>
          <w:ilvl w:val="0"/>
          <w:numId w:val="4"/>
        </w:numPr>
        <w:spacing w:lineRule="auto" w:line="240" w:beforeAutospacing="0" w:before="0" w:afterAutospacing="0" w:after="0"/>
        <w:ind w:hanging="360" w:start="720"/>
        <w:rPr/>
      </w:pPr>
      <w:r>
        <w:rPr/>
        <w:t>Requires suitable monitoring tools and alert configuration.</w:t>
      </w:r>
    </w:p>
    <w:p>
      <w:pPr>
        <w:pStyle w:val="normal1"/>
        <w:numPr>
          <w:ilvl w:val="0"/>
          <w:numId w:val="4"/>
        </w:numPr>
        <w:spacing w:lineRule="auto" w:line="240" w:beforeAutospacing="0" w:before="0" w:after="240"/>
        <w:ind w:hanging="360" w:start="720"/>
        <w:rPr/>
      </w:pPr>
      <w:r>
        <w:rPr/>
        <w:t>Monitoring costs should remain within the selected budget.</w:t>
      </w:r>
    </w:p>
    <w:p>
      <w:pPr>
        <w:pStyle w:val="Heading2"/>
        <w:keepNext w:val="false"/>
        <w:keepLines w:val="false"/>
        <w:spacing w:lineRule="auto" w:line="240" w:before="360" w:after="80"/>
        <w:rPr>
          <w:b/>
          <w:bCs/>
          <w:sz w:val="34"/>
          <w:szCs w:val="34"/>
        </w:rPr>
      </w:pPr>
      <w:r>
        <w:rPr>
          <w:b/>
          <w:bCs/>
          <w:sz w:val="34"/>
          <w:szCs w:val="34"/>
        </w:rPr>
      </w:r>
    </w:p>
    <w:p>
      <w:pPr>
        <w:pStyle w:val="Heading2"/>
        <w:spacing w:lineRule="auto" w:line="240" w:before="360" w:after="80"/>
        <w:rPr>
          <w:b/>
          <w:bCs/>
          <w:sz w:val="34"/>
          <w:szCs w:val="34"/>
        </w:rPr>
      </w:pPr>
      <w:bookmarkStart w:id="8" w:name="_vxg94xiyvuwy"/>
      <w:bookmarkEnd w:id="8"/>
      <w:r>
        <w:rPr>
          <w:b/>
          <w:bCs/>
          <w:sz w:val="34"/>
          <w:szCs w:val="34"/>
        </w:rPr>
        <w:t>8. Review Process:</w:t>
      </w:r>
    </w:p>
    <w:p>
      <w:pPr>
        <w:pStyle w:val="normal1"/>
        <w:spacing w:lineRule="auto" w:line="240" w:before="240" w:after="240"/>
        <w:rPr/>
      </w:pPr>
      <w:r>
        <w:rPr/>
        <w:t>These decisions are proposed and should be reviewed when requirements, infrastructure, costs, or security needs change. Any significant change should be documented with its rationale and consequences.</w:t>
      </w:r>
    </w:p>
    <w:p>
      <w:pPr>
        <w:pStyle w:val="Heading2"/>
        <w:keepNext w:val="false"/>
        <w:keepLines w:val="false"/>
        <w:spacing w:lineRule="auto" w:line="240" w:before="360" w:after="80"/>
        <w:rPr>
          <w:b/>
          <w:bCs/>
          <w:sz w:val="34"/>
          <w:szCs w:val="34"/>
        </w:rPr>
      </w:pPr>
      <w:bookmarkStart w:id="9" w:name="_axf1177f7dnz"/>
      <w:bookmarkEnd w:id="9"/>
      <w:r>
        <w:rPr>
          <w:b/>
          <w:bCs/>
          <w:sz w:val="34"/>
          <w:szCs w:val="34"/>
        </w:rPr>
        <w:t>9. Conclusion:</w:t>
      </w:r>
    </w:p>
    <w:p>
      <w:pPr>
        <w:pStyle w:val="normal1"/>
        <w:spacing w:lineRule="auto" w:line="240" w:before="240" w:after="240"/>
        <w:rPr/>
      </w:pPr>
      <w:r>
        <w:rPr/>
        <w:t>The ADRs establish a documented starting point for cloud region selection, recovery objectives, secret management, access control, backup protection, and service monitoring. They support consistent technical decisions and should be validated through implementation, cost review, and testing.</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Wingdings">
    <w:charset w:val="02"/>
    <w:family w:val="auto"/>
    <w:pitch w:val="default"/>
    <w:embedRegular r:id="rId18" w:fontKey="{12014A78-CABC-4EF0-12AC-5CD89AEFDE12}"/>
    <w:embedBold r:id="rId19" w:fontKey="{13014A78-CABC-4EF0-12AC-5CD89AEFDE13}"/>
  </w:font>
  <w:font w:name="Wingdings 2">
    <w:charset w:val="02"/>
    <w:family w:val="auto"/>
    <w:pitch w:val="default"/>
    <w:embedRegular r:id="rId20" w:fontKey="{14014A78-CABC-4EF0-12AC-5CD89AEFDE14}"/>
    <w:embedBold r:id="rId21" w:fontKey="{15014A78-CABC-4EF0-12AC-5CD89AEFDE15}"/>
  </w:font>
  <w:font w:name="OpenSymbol">
    <w:altName w:val="Arial Unicode MS"/>
    <w:charset w:val="01"/>
    <w:family w:val="auto"/>
    <w:pitch w:val="default"/>
    <w:embedRegular r:id="rId22" w:fontKey="{16014A78-CABC-4EF0-12AC-5CD89AEFDE16}"/>
    <w:embedBold r:id="rId23" w:fontKey="{17014A78-CABC-4EF0-12AC-5CD89AEFDE17}"/>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LibreOffice/25.8.4.1$Windows_X86_64 LibreOffice_project/6ab4ab096601e7cd763971a4dad5a6c7322a1a59</Application>
  <AppVersion>15.0000</AppVersion>
  <Pages>4</Pages>
  <Words>654</Words>
  <Characters>4218</Characters>
  <CharactersWithSpaces>4749</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2026-10-28T17:48:56Z</dcterms:modified>
  <cp:revision>1</cp:revision>
  <dc:subject/>
  <dc:title/>
</cp:coreProperties>
</file>